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14bis</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309718</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Xiamen, China, October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9</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October</w:t>
      </w:r>
      <w:r>
        <w:rPr>
          <w:rFonts w:hint="eastAsia" w:ascii="Arial" w:hAnsi="Arial" w:cs="Arial"/>
          <w:b/>
          <w:bCs/>
          <w:sz w:val="28"/>
          <w:lang w:val="en-US" w:eastAsia="zh-CN"/>
        </w:rPr>
        <w:t xml:space="preserve"> 13</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8</w:t>
      </w:r>
      <w:r>
        <w:rPr>
          <w:b/>
        </w:rPr>
        <w:t>.</w:t>
      </w:r>
      <w:r>
        <w:rPr>
          <w:rFonts w:hint="eastAsia"/>
          <w:b/>
          <w:lang w:val="en-US" w:eastAsia="zh-CN"/>
        </w:rPr>
        <w:t>2</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Remaining issues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rFonts w:hint="default"/>
          <w:b/>
          <w:i/>
          <w:iCs w:val="0"/>
          <w:strike w:val="0"/>
          <w:dstrike w:val="0"/>
          <w:szCs w:val="20"/>
          <w:lang w:val="en-US" w:eastAsia="zh-CN"/>
        </w:rPr>
      </w:pPr>
      <w:r>
        <w:rPr>
          <w:lang w:eastAsia="zh-CN"/>
        </w:rPr>
        <w:t>Discussion</w:t>
      </w: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In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tries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on each sidelink slot. In SL-U, since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can be configured for a sidelink slot,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required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at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positions on each sidelink slot. Compared to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PSCCH </w:t>
      </w:r>
      <w:r>
        <w:rPr>
          <w:rFonts w:hint="eastAsia" w:eastAsia="宋体"/>
          <w:b w:val="0"/>
          <w:bCs/>
          <w:i w:val="0"/>
          <w:iCs/>
          <w:strike w:val="0"/>
          <w:dstrike w:val="0"/>
          <w:szCs w:val="20"/>
          <w:lang w:val="en-US" w:eastAsia="zh-CN"/>
        </w:rPr>
        <w:t>blind decoding budget</w:t>
      </w:r>
      <w:r>
        <w:rPr>
          <w:rFonts w:hint="default" w:eastAsia="宋体"/>
          <w:b w:val="0"/>
          <w:bCs/>
          <w:i w:val="0"/>
          <w:iCs/>
          <w:strike w:val="0"/>
          <w:dstrike w:val="0"/>
          <w:szCs w:val="20"/>
          <w:lang w:val="en-US" w:eastAsia="zh-CN"/>
        </w:rPr>
        <w:t xml:space="preserve"> is doubled. </w:t>
      </w:r>
      <w:r>
        <w:rPr>
          <w:rFonts w:hint="eastAsia"/>
          <w:b w:val="0"/>
          <w:bCs/>
          <w:i w:val="0"/>
          <w:iCs/>
          <w:strike w:val="0"/>
          <w:dstrike w:val="0"/>
          <w:szCs w:val="20"/>
          <w:lang w:val="en-US" w:eastAsia="zh-CN"/>
        </w:rPr>
        <w:t>But</w:t>
      </w:r>
      <w:r>
        <w:rPr>
          <w:rFonts w:hint="default" w:eastAsia="宋体"/>
          <w:b w:val="0"/>
          <w:bCs/>
          <w:i w:val="0"/>
          <w:iCs/>
          <w:strike w:val="0"/>
          <w:dstrike w:val="0"/>
          <w:szCs w:val="20"/>
          <w:lang w:val="en-US" w:eastAsia="zh-CN"/>
        </w:rPr>
        <w:t xml:space="preserve"> the </w:t>
      </w:r>
      <w:r>
        <w:rPr>
          <w:rFonts w:hint="eastAsia" w:eastAsia="宋体"/>
          <w:b w:val="0"/>
          <w:bCs/>
          <w:i w:val="0"/>
          <w:iCs/>
          <w:strike w:val="0"/>
          <w:dstrike w:val="0"/>
          <w:szCs w:val="20"/>
          <w:lang w:val="en-US" w:eastAsia="zh-CN"/>
        </w:rPr>
        <w:t>blind decoding</w:t>
      </w:r>
      <w:r>
        <w:rPr>
          <w:rFonts w:hint="default" w:eastAsia="宋体"/>
          <w:b w:val="0"/>
          <w:bCs/>
          <w:i w:val="0"/>
          <w:iCs/>
          <w:strike w:val="0"/>
          <w:dstrike w:val="0"/>
          <w:szCs w:val="20"/>
          <w:lang w:val="en-US" w:eastAsia="zh-CN"/>
        </w:rPr>
        <w:t xml:space="preserve"> capability of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w:t>
      </w:r>
      <w:r>
        <w:rPr>
          <w:rFonts w:hint="eastAsia"/>
          <w:b w:val="0"/>
          <w:bCs/>
          <w:i w:val="0"/>
          <w:iCs/>
          <w:strike w:val="0"/>
          <w:dstrike w:val="0"/>
          <w:szCs w:val="20"/>
          <w:lang w:val="en-US" w:eastAsia="zh-CN"/>
        </w:rPr>
        <w:t xml:space="preserve">still </w:t>
      </w:r>
      <w:r>
        <w:rPr>
          <w:rFonts w:hint="default" w:eastAsia="宋体"/>
          <w:b w:val="0"/>
          <w:bCs/>
          <w:i w:val="0"/>
          <w:iCs/>
          <w:strike w:val="0"/>
          <w:dstrike w:val="0"/>
          <w:szCs w:val="20"/>
          <w:lang w:val="en-US" w:eastAsia="zh-CN"/>
        </w:rPr>
        <w:t xml:space="preserve">limited </w:t>
      </w:r>
      <w:r>
        <w:rPr>
          <w:rFonts w:hint="eastAsia"/>
          <w:b w:val="0"/>
          <w:bCs/>
          <w:i w:val="0"/>
          <w:iCs/>
          <w:strike w:val="0"/>
          <w:dstrike w:val="0"/>
          <w:szCs w:val="20"/>
          <w:lang w:val="en-US" w:eastAsia="zh-CN"/>
        </w:rPr>
        <w:t>by the UE capability [2]</w:t>
      </w:r>
      <w:r>
        <w:rPr>
          <w:rFonts w:hint="default" w:eastAsia="宋体"/>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keepLines/>
              <w:widowControl w:val="0"/>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sl-Reception-r16</w:t>
            </w:r>
          </w:p>
          <w:p>
            <w:pPr>
              <w:keepNext/>
              <w:keepLines/>
              <w:widowControl w:val="0"/>
              <w:overflowPunct w:val="0"/>
              <w:autoSpaceDE w:val="0"/>
              <w:autoSpaceDN w:val="0"/>
              <w:adjustRightInd w:val="0"/>
              <w:spacing w:after="120" w:afterLines="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whether receving NR sidelink communication is supported. If supported, this parameter indicates the support of the capabilities and includes the parameters as follows:</w:t>
            </w:r>
          </w:p>
          <w:p>
            <w:pPr>
              <w:widowControl w:val="0"/>
              <w:overflowPunct w:val="0"/>
              <w:autoSpaceDE w:val="0"/>
              <w:autoSpaceDN w:val="0"/>
              <w:adjustRightInd w:val="0"/>
              <w:spacing w:after="120"/>
              <w:ind w:left="568" w:hanging="284"/>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bidi="ar-SA"/>
              </w:rPr>
              <w:t>......</w:t>
            </w:r>
          </w:p>
          <w:p>
            <w:pPr>
              <w:widowControl w:val="0"/>
              <w:overflowPunct w:val="0"/>
              <w:autoSpaceDE w:val="0"/>
              <w:autoSpaceDN w:val="0"/>
              <w:adjustRightInd w:val="0"/>
              <w:spacing w:after="120"/>
              <w:ind w:left="568" w:hanging="284"/>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w:t>
            </w:r>
            <w:r>
              <w:rPr>
                <w:rFonts w:ascii="Times New Roman" w:hAnsi="Times New Roman" w:eastAsia="Times New Roman" w:cs="Times New Roman"/>
                <w:lang w:val="en-GB" w:eastAsia="ja-JP" w:bidi="ar-SA"/>
              </w:rPr>
              <w:tab/>
            </w:r>
            <w:r>
              <w:rPr>
                <w:rFonts w:ascii="Arial" w:hAnsi="Arial" w:eastAsia="Times New Roman" w:cs="Arial"/>
                <w:i/>
                <w:iCs/>
                <w:sz w:val="18"/>
                <w:szCs w:val="18"/>
                <w:lang w:val="en-GB" w:eastAsia="ja-JP" w:bidi="ar-SA"/>
              </w:rPr>
              <w:t>pscch-RxSidelink</w:t>
            </w:r>
            <w:r>
              <w:rPr>
                <w:rFonts w:ascii="Arial" w:hAnsi="Arial" w:eastAsia="Times New Roman" w:cs="Arial"/>
                <w:sz w:val="18"/>
                <w:szCs w:val="18"/>
                <w:lang w:val="en-GB" w:eastAsia="ja-JP" w:bidi="ar-SA"/>
              </w:rPr>
              <w:t>, which indicates the number of PSCCH that the supports for reception in a slot. Value value1 corresponds to floor (N</w:t>
            </w:r>
            <w:r>
              <w:rPr>
                <w:rFonts w:ascii="Arial" w:hAnsi="Arial" w:eastAsia="Times New Roman" w:cs="Arial"/>
                <w:sz w:val="18"/>
                <w:szCs w:val="18"/>
                <w:vertAlign w:val="subscript"/>
                <w:lang w:val="en-GB" w:eastAsia="ja-JP" w:bidi="ar-SA"/>
              </w:rPr>
              <w:t>RB</w:t>
            </w:r>
            <w:r>
              <w:rPr>
                <w:rFonts w:ascii="Arial" w:hAnsi="Arial" w:eastAsia="Times New Roman" w:cs="Arial"/>
                <w:sz w:val="18"/>
                <w:szCs w:val="18"/>
                <w:lang w:val="en-GB" w:eastAsia="ja-JP" w:bidi="ar-SA"/>
              </w:rPr>
              <w:t xml:space="preserve"> /10 RBs), value2 corresponds to 2*floor (N</w:t>
            </w:r>
            <w:r>
              <w:rPr>
                <w:rFonts w:ascii="Arial" w:hAnsi="Arial" w:eastAsia="Times New Roman" w:cs="Arial"/>
                <w:sz w:val="18"/>
                <w:szCs w:val="18"/>
                <w:vertAlign w:val="subscript"/>
                <w:lang w:val="en-GB" w:eastAsia="ja-JP" w:bidi="ar-SA"/>
              </w:rPr>
              <w:t>RB</w:t>
            </w:r>
            <w:r>
              <w:rPr>
                <w:rFonts w:ascii="Arial" w:hAnsi="Arial" w:eastAsia="Times New Roman" w:cs="Arial"/>
                <w:sz w:val="18"/>
                <w:szCs w:val="18"/>
                <w:lang w:val="en-GB" w:eastAsia="ja-JP" w:bidi="ar-SA"/>
              </w:rPr>
              <w:t xml:space="preserve"> /10 RBs);</w:t>
            </w:r>
          </w:p>
          <w:p>
            <w:pPr>
              <w:widowControl w:val="0"/>
              <w:overflowPunct w:val="0"/>
              <w:autoSpaceDE w:val="0"/>
              <w:autoSpaceDN w:val="0"/>
              <w:adjustRightInd w:val="0"/>
              <w:spacing w:after="120"/>
              <w:ind w:left="568" w:hanging="284"/>
              <w:jc w:val="center"/>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w:t>
            </w:r>
          </w:p>
        </w:tc>
      </w:tr>
    </w:tbl>
    <w:p>
      <w:pPr>
        <w:rPr>
          <w:rFonts w:hint="eastAsia" w:eastAsia="宋体"/>
          <w:b w:val="0"/>
          <w:bCs/>
          <w:i w:val="0"/>
          <w:iCs/>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RAN1#112bis-e meeting, the following agreement was agreed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autoSpaceDE/>
              <w:autoSpaceDN/>
              <w:adjustRightInd/>
              <w:snapToGrid/>
              <w:spacing w:after="0" w:line="276" w:lineRule="auto"/>
              <w:jc w:val="left"/>
              <w:rPr>
                <w:rFonts w:ascii="Times" w:hAnsi="Times" w:eastAsia="Batang" w:cs="Calibri"/>
                <w:b/>
                <w:sz w:val="22"/>
                <w:szCs w:val="32"/>
                <w:shd w:val="clear" w:color="auto" w:fill="FFFF00"/>
                <w:lang w:val="en-GB" w:eastAsia="zh-CN"/>
                <w14:ligatures w14:val="standardContextual"/>
              </w:rPr>
            </w:pPr>
            <w:r>
              <w:rPr>
                <w:rFonts w:ascii="Times" w:hAnsi="Times" w:eastAsia="Batang" w:cs="Calibri"/>
                <w:b/>
                <w:sz w:val="22"/>
                <w:szCs w:val="32"/>
                <w:highlight w:val="green"/>
                <w:shd w:val="clear" w:color="auto" w:fill="FFFF00"/>
                <w:lang w:val="en-GB" w:eastAsia="zh-CN"/>
                <w14:ligatures w14:val="standardContextual"/>
              </w:rPr>
              <w:t>Agreement</w:t>
            </w:r>
          </w:p>
          <w:p>
            <w:pPr>
              <w:autoSpaceDE/>
              <w:autoSpaceDN/>
              <w:adjustRightInd/>
              <w:snapToGrid/>
              <w:spacing w:after="0" w:line="276" w:lineRule="auto"/>
              <w:jc w:val="left"/>
              <w:rPr>
                <w:rFonts w:ascii="Times" w:hAnsi="Times" w:eastAsia="微软雅黑" w:cs="Calibri"/>
                <w:sz w:val="22"/>
                <w:szCs w:val="32"/>
                <w:lang w:val="en-GB" w:eastAsia="zh-CN"/>
                <w14:ligatures w14:val="standardContextual"/>
              </w:rPr>
            </w:pPr>
            <w:r>
              <w:rPr>
                <w:rFonts w:hint="eastAsia" w:ascii="Times" w:hAnsi="Times" w:eastAsia="微软雅黑" w:cs="Calibri"/>
                <w:sz w:val="22"/>
                <w:szCs w:val="32"/>
                <w:lang w:val="en-GB" w:eastAsia="zh-CN"/>
                <w14:ligatures w14:val="standardContextual"/>
              </w:rPr>
              <w:t>Regarding</w:t>
            </w:r>
            <w:r>
              <w:rPr>
                <w:rFonts w:ascii="Times" w:hAnsi="Times" w:eastAsia="微软雅黑" w:cs="Calibri"/>
                <w:sz w:val="22"/>
                <w:szCs w:val="32"/>
                <w:lang w:val="en-GB" w:eastAsia="zh-CN"/>
                <w14:ligatures w14:val="standardContextual"/>
              </w:rPr>
              <w:t xml:space="preserve"> Tx UE behavior, at least when it initiates a COT:</w:t>
            </w:r>
          </w:p>
          <w:p>
            <w:pPr>
              <w:numPr>
                <w:ilvl w:val="0"/>
                <w:numId w:val="11"/>
              </w:numPr>
              <w:autoSpaceDE/>
              <w:autoSpaceDN/>
              <w:adjustRightInd/>
              <w:snapToGrid/>
              <w:spacing w:after="0" w:line="240" w:lineRule="auto"/>
              <w:ind w:left="72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For the 1</w:t>
            </w:r>
            <w:r>
              <w:rPr>
                <w:rFonts w:ascii="Times" w:hAnsi="Times" w:eastAsia="微软雅黑" w:cs="Calibri"/>
                <w:sz w:val="22"/>
                <w:szCs w:val="32"/>
                <w:vertAlign w:val="superscript"/>
                <w:lang w:val="en-GB" w:eastAsia="zh-TW"/>
                <w14:ligatures w14:val="standardContextual"/>
              </w:rPr>
              <w:t>st</w:t>
            </w:r>
            <w:r>
              <w:rPr>
                <w:rFonts w:ascii="Times" w:hAnsi="Times" w:eastAsia="微软雅黑" w:cs="Calibri"/>
                <w:sz w:val="22"/>
                <w:szCs w:val="32"/>
                <w:lang w:val="en-GB" w:eastAsia="zh-TW"/>
                <w14:ligatures w14:val="standardContextual"/>
              </w:rPr>
              <w:t xml:space="preserve"> slot of a COT, the Tx UE chooses the earliest starting symbol for PSCCH/PSSCH transmission after clearing LBT.</w:t>
            </w:r>
          </w:p>
          <w:p>
            <w:pPr>
              <w:numPr>
                <w:ilvl w:val="1"/>
                <w:numId w:val="11"/>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hint="eastAsia" w:ascii="Times" w:hAnsi="Times" w:eastAsia="MS Mincho" w:cs="Calibri"/>
                <w:sz w:val="22"/>
                <w:szCs w:val="32"/>
                <w:lang w:val="en-GB" w:eastAsia="ja-JP"/>
                <w14:ligatures w14:val="standardContextual"/>
              </w:rPr>
              <w:t>N</w:t>
            </w:r>
            <w:r>
              <w:rPr>
                <w:rFonts w:ascii="Times" w:hAnsi="Times" w:eastAsia="MS Mincho" w:cs="Calibri"/>
                <w:sz w:val="22"/>
                <w:szCs w:val="32"/>
                <w:lang w:val="en-GB" w:eastAsia="ja-JP"/>
                <w14:ligatures w14:val="standardContextual"/>
              </w:rPr>
              <w:t>ote: in the same slot, Tx UE can use the 2</w:t>
            </w:r>
            <w:r>
              <w:rPr>
                <w:rFonts w:ascii="Times" w:hAnsi="Times" w:eastAsia="MS Mincho" w:cs="Calibri"/>
                <w:sz w:val="22"/>
                <w:szCs w:val="32"/>
                <w:vertAlign w:val="superscript"/>
                <w:lang w:val="en-GB" w:eastAsia="ja-JP"/>
                <w14:ligatures w14:val="standardContextual"/>
              </w:rPr>
              <w:t>nd</w:t>
            </w:r>
            <w:r>
              <w:rPr>
                <w:rFonts w:ascii="Times" w:hAnsi="Times" w:eastAsia="MS Mincho" w:cs="Calibri"/>
                <w:sz w:val="22"/>
                <w:szCs w:val="32"/>
                <w:lang w:val="en-GB" w:eastAsia="ja-JP"/>
                <w14:ligatures w14:val="standardContextual"/>
              </w:rPr>
              <w:t xml:space="preserve"> starting symbol only if LBT fails at the 1</w:t>
            </w:r>
            <w:r>
              <w:rPr>
                <w:rFonts w:ascii="Times" w:hAnsi="Times" w:eastAsia="MS Mincho" w:cs="Calibri"/>
                <w:sz w:val="22"/>
                <w:szCs w:val="32"/>
                <w:vertAlign w:val="superscript"/>
                <w:lang w:val="en-GB" w:eastAsia="ja-JP"/>
                <w14:ligatures w14:val="standardContextual"/>
              </w:rPr>
              <w:t>st</w:t>
            </w:r>
            <w:r>
              <w:rPr>
                <w:rFonts w:ascii="Times" w:hAnsi="Times" w:eastAsia="MS Mincho" w:cs="Calibri"/>
                <w:sz w:val="22"/>
                <w:szCs w:val="32"/>
                <w:lang w:val="en-GB" w:eastAsia="ja-JP"/>
                <w14:ligatures w14:val="standardContextual"/>
              </w:rPr>
              <w:t xml:space="preserve"> starting symbol</w:t>
            </w:r>
          </w:p>
          <w:p>
            <w:pPr>
              <w:numPr>
                <w:ilvl w:val="0"/>
                <w:numId w:val="11"/>
              </w:numPr>
              <w:autoSpaceDE/>
              <w:autoSpaceDN/>
              <w:adjustRightInd/>
              <w:snapToGrid/>
              <w:spacing w:after="0" w:line="240" w:lineRule="auto"/>
              <w:ind w:left="72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whether/how to support that for the remaining slots of a COT, the Tx UE only chooses the 1</w:t>
            </w:r>
            <w:r>
              <w:rPr>
                <w:rFonts w:ascii="Times" w:hAnsi="Times" w:eastAsia="微软雅黑" w:cs="Calibri"/>
                <w:sz w:val="22"/>
                <w:szCs w:val="32"/>
                <w:vertAlign w:val="superscript"/>
                <w:lang w:val="en-GB" w:eastAsia="zh-TW"/>
                <w14:ligatures w14:val="standardContextual"/>
              </w:rPr>
              <w:t>st</w:t>
            </w:r>
            <w:r>
              <w:rPr>
                <w:rFonts w:ascii="Times" w:hAnsi="Times" w:eastAsia="微软雅黑" w:cs="Calibri"/>
                <w:sz w:val="22"/>
                <w:szCs w:val="32"/>
                <w:lang w:val="en-GB" w:eastAsia="zh-TW"/>
                <w14:ligatures w14:val="standardContextual"/>
              </w:rPr>
              <w:t xml:space="preserve"> starting symbol for PSCCH/PSSCH transmission.</w:t>
            </w:r>
          </w:p>
          <w:p>
            <w:pPr>
              <w:numPr>
                <w:ilvl w:val="1"/>
                <w:numId w:val="11"/>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applicable scenarios</w:t>
            </w:r>
          </w:p>
          <w:p>
            <w:pPr>
              <w:numPr>
                <w:ilvl w:val="2"/>
                <w:numId w:val="11"/>
              </w:numPr>
              <w:autoSpaceDE/>
              <w:autoSpaceDN/>
              <w:adjustRightInd/>
              <w:snapToGrid/>
              <w:spacing w:after="0" w:line="240" w:lineRule="auto"/>
              <w:ind w:left="216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e.g., at least for MCSt with no greater than 16us gap</w:t>
            </w:r>
          </w:p>
          <w:p>
            <w:pPr>
              <w:numPr>
                <w:ilvl w:val="2"/>
                <w:numId w:val="11"/>
              </w:numPr>
              <w:autoSpaceDE/>
              <w:autoSpaceDN/>
              <w:adjustRightInd/>
              <w:snapToGrid/>
              <w:spacing w:after="0" w:line="240" w:lineRule="auto"/>
              <w:ind w:left="216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e.g., at least for transmission with no greater than 16us gap from the previous transmission by any UE</w:t>
            </w:r>
          </w:p>
          <w:p>
            <w:pPr>
              <w:numPr>
                <w:ilvl w:val="1"/>
                <w:numId w:val="11"/>
              </w:numPr>
              <w:autoSpaceDE/>
              <w:autoSpaceDN/>
              <w:adjustRightInd/>
              <w:snapToGrid/>
              <w:spacing w:after="0" w:line="240" w:lineRule="auto"/>
              <w:ind w:left="1440" w:hanging="360"/>
              <w:jc w:val="left"/>
              <w:rPr>
                <w:rFonts w:ascii="Times" w:hAnsi="Times" w:eastAsia="微软雅黑" w:cs="Calibri"/>
                <w:sz w:val="22"/>
                <w:szCs w:val="32"/>
                <w:lang w:val="en-GB" w:eastAsia="zh-TW"/>
                <w14:ligatures w14:val="standardContextual"/>
              </w:rPr>
            </w:pPr>
            <w:r>
              <w:rPr>
                <w:rFonts w:ascii="Times" w:hAnsi="Times" w:eastAsia="微软雅黑" w:cs="Calibri"/>
                <w:sz w:val="22"/>
                <w:szCs w:val="32"/>
                <w:lang w:val="en-GB" w:eastAsia="zh-TW"/>
                <w14:ligatures w14:val="standardContextual"/>
              </w:rPr>
              <w:t>FFS: Rx UE behavior</w:t>
            </w:r>
          </w:p>
          <w:p>
            <w:pPr>
              <w:autoSpaceDE/>
              <w:autoSpaceDN/>
              <w:adjustRightInd/>
              <w:snapToGrid/>
              <w:spacing w:after="0" w:line="240" w:lineRule="auto"/>
              <w:jc w:val="left"/>
              <w:rPr>
                <w:rFonts w:hint="default"/>
                <w:b/>
                <w:i/>
                <w:iCs w:val="0"/>
                <w:strike w:val="0"/>
                <w:dstrike w:val="0"/>
                <w:szCs w:val="20"/>
                <w:vertAlign w:val="baseline"/>
                <w:lang w:val="en-US" w:eastAsia="zh-CN"/>
              </w:rPr>
            </w:pPr>
            <w:r>
              <w:rPr>
                <w:rFonts w:hint="eastAsia" w:ascii="Times" w:hAnsi="Times" w:eastAsia="Batang" w:cs="Calibri"/>
                <w:sz w:val="22"/>
                <w:szCs w:val="32"/>
                <w:lang w:val="en-GB" w:eastAsia="zh-CN"/>
                <w14:ligatures w14:val="standardContextual"/>
              </w:rPr>
              <w:t>F</w:t>
            </w:r>
            <w:r>
              <w:rPr>
                <w:rFonts w:ascii="Times" w:hAnsi="Times" w:eastAsia="Batang" w:cs="Calibri"/>
                <w:sz w:val="22"/>
                <w:szCs w:val="32"/>
                <w:lang w:val="en-GB" w:eastAsia="zh-CN"/>
                <w14:ligatures w14:val="standardContextual"/>
              </w:rPr>
              <w:t>FS: COT sharing case</w:t>
            </w:r>
          </w:p>
        </w:tc>
      </w:tr>
    </w:tbl>
    <w:p>
      <w:pPr>
        <w:rPr>
          <w:rFonts w:hint="eastAsia" w:eastAsia="宋体"/>
          <w:b w:val="0"/>
          <w:bCs/>
          <w:i w:val="0"/>
          <w:iCs/>
          <w:strike w:val="0"/>
          <w:dstrike w:val="0"/>
          <w:szCs w:val="20"/>
          <w:lang w:val="en-US" w:eastAsia="zh-CN"/>
        </w:rPr>
      </w:pPr>
    </w:p>
    <w:p>
      <w:pPr>
        <w:rPr>
          <w:rFonts w:hint="eastAsia"/>
          <w:b w:val="0"/>
          <w:bCs/>
          <w:i w:val="0"/>
          <w:iCs/>
          <w:strike w:val="0"/>
          <w:dstrike w:val="0"/>
          <w:szCs w:val="20"/>
          <w:lang w:val="en-US" w:eastAsia="zh-CN"/>
        </w:rPr>
      </w:pPr>
      <w:r>
        <w:rPr>
          <w:rFonts w:hint="default" w:eastAsia="宋体"/>
          <w:b w:val="0"/>
          <w:bCs/>
          <w:i w:val="0"/>
          <w:iCs/>
          <w:strike w:val="0"/>
          <w:dstrike w:val="0"/>
          <w:szCs w:val="20"/>
          <w:lang w:val="en-US" w:eastAsia="zh-CN"/>
        </w:rPr>
        <w:t>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are introduced within a sidelink slot in order for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to quickly access the unlicensed spectrum, and this increases the complexity of blind </w:t>
      </w:r>
      <w:r>
        <w:rPr>
          <w:rFonts w:hint="eastAsia" w:eastAsia="宋体"/>
          <w:b w:val="0"/>
          <w:bCs/>
          <w:i w:val="0"/>
          <w:iCs/>
          <w:strike w:val="0"/>
          <w:dstrike w:val="0"/>
          <w:szCs w:val="20"/>
          <w:lang w:val="en-US" w:eastAsia="zh-CN"/>
        </w:rPr>
        <w:t>decod</w:t>
      </w:r>
      <w:r>
        <w:rPr>
          <w:rFonts w:hint="default" w:eastAsia="宋体"/>
          <w:b w:val="0"/>
          <w:bCs/>
          <w:i w:val="0"/>
          <w:iCs/>
          <w:strike w:val="0"/>
          <w:dstrike w:val="0"/>
          <w:szCs w:val="20"/>
          <w:lang w:val="en-US" w:eastAsia="zh-CN"/>
        </w:rPr>
        <w:t>ing</w:t>
      </w:r>
      <w:r>
        <w:rPr>
          <w:rFonts w:hint="eastAsia"/>
          <w:b w:val="0"/>
          <w:bCs/>
          <w:i w:val="0"/>
          <w:iCs/>
          <w:strike w:val="0"/>
          <w:dstrike w:val="0"/>
          <w:szCs w:val="20"/>
          <w:lang w:val="en-US" w:eastAsia="zh-CN"/>
        </w:rPr>
        <w:t xml:space="preserve"> of</w:t>
      </w:r>
      <w:r>
        <w:rPr>
          <w:rFonts w:hint="default" w:eastAsia="宋体"/>
          <w:b w:val="0"/>
          <w:bCs/>
          <w:i w:val="0"/>
          <w:iCs/>
          <w:strike w:val="0"/>
          <w:dstrike w:val="0"/>
          <w:szCs w:val="20"/>
          <w:lang w:val="en-US" w:eastAsia="zh-CN"/>
        </w:rPr>
        <w:t xml:space="preserve"> the PSCCH at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Within a COT, the use of only one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is necessary to ensure continuous </w:t>
      </w:r>
      <w:r>
        <w:rPr>
          <w:rFonts w:hint="eastAsia" w:eastAsia="宋体"/>
          <w:b w:val="0"/>
          <w:bCs/>
          <w:i w:val="0"/>
          <w:iCs/>
          <w:strike w:val="0"/>
          <w:dstrike w:val="0"/>
          <w:szCs w:val="20"/>
          <w:lang w:val="en-US" w:eastAsia="zh-CN"/>
        </w:rPr>
        <w:t>transmission</w:t>
      </w:r>
      <w:r>
        <w:rPr>
          <w:rFonts w:hint="default" w:eastAsia="宋体"/>
          <w:b w:val="0"/>
          <w:bCs/>
          <w:i w:val="0"/>
          <w:iCs/>
          <w:strike w:val="0"/>
          <w:dstrike w:val="0"/>
          <w:szCs w:val="20"/>
          <w:lang w:val="en-US" w:eastAsia="zh-CN"/>
        </w:rPr>
        <w:t xml:space="preserve"> and also to improve spectral efficiency.</w:t>
      </w:r>
      <w:r>
        <w:rPr>
          <w:rFonts w:hint="eastAsia" w:eastAsia="宋体"/>
          <w:b w:val="0"/>
          <w:bCs/>
          <w:i w:val="0"/>
          <w:iCs/>
          <w:strike w:val="0"/>
          <w:dstrike w:val="0"/>
          <w:szCs w:val="20"/>
          <w:lang w:val="en-US" w:eastAsia="zh-CN"/>
        </w:rPr>
        <w:t xml:space="preserve"> Therefore, </w:t>
      </w:r>
      <w:r>
        <w:rPr>
          <w:rFonts w:hint="eastAsia"/>
          <w:b w:val="0"/>
          <w:bCs/>
          <w:i w:val="0"/>
          <w:iCs/>
          <w:strike w:val="0"/>
          <w:dstrike w:val="0"/>
          <w:szCs w:val="20"/>
          <w:lang w:val="en-US" w:eastAsia="zh-CN"/>
        </w:rPr>
        <w:t>the transmitting UE can only choose the first starting symbol of the slot to transmit the PSCCH when the slot is within the remaining slots of the COT.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Proposal 1: The transmitting UE can only choose the first starting symbol of the slot to transmit the PSCCH when the slot is within the remaining slots of the COT.</w:t>
      </w:r>
    </w:p>
    <w:p>
      <w:pPr>
        <w:rPr>
          <w:rFonts w:hint="default"/>
          <w:b w:val="0"/>
          <w:bCs/>
          <w:i w:val="0"/>
          <w:iCs/>
          <w:strike w:val="0"/>
          <w:dstrike w:val="0"/>
          <w:szCs w:val="20"/>
          <w:lang w:val="en-US" w:eastAsia="zh-CN"/>
        </w:rPr>
      </w:pPr>
    </w:p>
    <w:p>
      <w:pPr>
        <w:rPr>
          <w:rFonts w:hint="default" w:eastAsia="宋体"/>
          <w:b w:val="0"/>
          <w:bCs/>
          <w:i w:val="0"/>
          <w:iCs/>
          <w:strike w:val="0"/>
          <w:dstrike w:val="0"/>
          <w:szCs w:val="20"/>
          <w:lang w:val="en-US" w:eastAsia="zh-CN"/>
        </w:rPr>
      </w:pPr>
      <w:r>
        <w:rPr>
          <w:rFonts w:hint="eastAsia"/>
          <w:b w:val="0"/>
          <w:bCs/>
          <w:i w:val="0"/>
          <w:iCs/>
          <w:strike w:val="0"/>
          <w:dstrike w:val="0"/>
          <w:szCs w:val="20"/>
          <w:lang w:val="en-US" w:eastAsia="zh-CN"/>
        </w:rPr>
        <w:t xml:space="preserve">Similarly, </w:t>
      </w:r>
      <w:r>
        <w:rPr>
          <w:rFonts w:hint="eastAsia" w:eastAsia="宋体"/>
          <w:b w:val="0"/>
          <w:bCs/>
          <w:i w:val="0"/>
          <w:iCs/>
          <w:strike w:val="0"/>
          <w:dstrike w:val="0"/>
          <w:szCs w:val="20"/>
          <w:lang w:val="en-US" w:eastAsia="zh-CN"/>
        </w:rPr>
        <w:t xml:space="preserve">the receiving UE shall monitor PSCCH on </w:t>
      </w:r>
      <w:r>
        <w:rPr>
          <w:rFonts w:hint="eastAsia"/>
          <w:b w:val="0"/>
          <w:bCs/>
          <w:i w:val="0"/>
          <w:iCs/>
          <w:strike w:val="0"/>
          <w:dstrike w:val="0"/>
          <w:szCs w:val="20"/>
          <w:lang w:val="en-US" w:eastAsia="zh-CN"/>
        </w:rPr>
        <w:t>both the first and second</w:t>
      </w:r>
      <w:r>
        <w:rPr>
          <w:rFonts w:hint="eastAsia" w:eastAsia="宋体"/>
          <w:b w:val="0"/>
          <w:bCs/>
          <w:i w:val="0"/>
          <w:iCs/>
          <w:strike w:val="0"/>
          <w:dstrike w:val="0"/>
          <w:szCs w:val="20"/>
          <w:lang w:val="en-US" w:eastAsia="zh-CN"/>
        </w:rPr>
        <w:t xml:space="preserve"> starting symbols of the slot, if the slot is out of the COT or at the beginning of the COT. Otherwise, the receiving UE can skip the PSCCH monitoring on the second starting symbol of the slot, if the slot is within the rest of the COT</w:t>
      </w:r>
      <w:r>
        <w:rPr>
          <w:rFonts w:hint="eastAsia"/>
          <w:b w:val="0"/>
          <w:bCs/>
          <w:i w:val="0"/>
          <w:iCs/>
          <w:strike w:val="0"/>
          <w:dstrike w:val="0"/>
          <w:szCs w:val="20"/>
          <w:lang w:val="en-US" w:eastAsia="zh-CN"/>
        </w:rPr>
        <w:t xml:space="preserve"> to reduce the blind decoding complexity</w:t>
      </w:r>
      <w:r>
        <w:rPr>
          <w:rFonts w:hint="eastAsia" w:eastAsia="宋体"/>
          <w:b w:val="0"/>
          <w:bCs/>
          <w:i w:val="0"/>
          <w:iCs/>
          <w:strike w:val="0"/>
          <w:dstrike w:val="0"/>
          <w:szCs w:val="20"/>
          <w:lang w:val="en-US" w:eastAsia="zh-CN"/>
        </w:rPr>
        <w: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w:t>
      </w:r>
      <w:r>
        <w:rPr>
          <w:rFonts w:hint="eastAsia"/>
          <w:b/>
          <w:bCs w:val="0"/>
          <w:i/>
          <w:iCs w:val="0"/>
          <w:strike w:val="0"/>
          <w:dstrike w:val="0"/>
          <w:szCs w:val="20"/>
          <w:lang w:val="en-US" w:eastAsia="zh-CN"/>
        </w:rPr>
        <w:t>2</w:t>
      </w:r>
      <w:r>
        <w:rPr>
          <w:rFonts w:hint="eastAsia" w:eastAsia="宋体"/>
          <w:b/>
          <w:bCs w:val="0"/>
          <w:i/>
          <w:iCs w:val="0"/>
          <w:strike w:val="0"/>
          <w:dstrike w:val="0"/>
          <w:szCs w:val="20"/>
          <w:lang w:val="en-US" w:eastAsia="zh-CN"/>
        </w:rPr>
        <w:t xml:space="preserve">: </w:t>
      </w:r>
    </w:p>
    <w:p>
      <w:pPr>
        <w:numPr>
          <w:ilvl w:val="0"/>
          <w:numId w:val="12"/>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The receiving UE shall monitor PSCCH on both </w:t>
      </w:r>
      <w:r>
        <w:rPr>
          <w:rFonts w:hint="eastAsia"/>
          <w:b/>
          <w:bCs w:val="0"/>
          <w:i/>
          <w:iCs w:val="0"/>
          <w:strike w:val="0"/>
          <w:dstrike w:val="0"/>
          <w:szCs w:val="20"/>
          <w:lang w:val="en-US" w:eastAsia="zh-CN"/>
        </w:rPr>
        <w:t xml:space="preserve">the first and second </w:t>
      </w:r>
      <w:r>
        <w:rPr>
          <w:rFonts w:hint="eastAsia" w:eastAsia="宋体"/>
          <w:b/>
          <w:bCs w:val="0"/>
          <w:i/>
          <w:iCs w:val="0"/>
          <w:strike w:val="0"/>
          <w:dstrike w:val="0"/>
          <w:szCs w:val="20"/>
          <w:lang w:val="en-US" w:eastAsia="zh-CN"/>
        </w:rPr>
        <w:t>starting symbols of the slot, if the slot is out of the COT or at the beginning of the COT.</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p>
    <w:p>
      <w:pPr>
        <w:rPr>
          <w:rFonts w:hint="default"/>
          <w:b/>
          <w:i/>
          <w:iCs w:val="0"/>
          <w:strike w:val="0"/>
          <w:dstrike w:val="0"/>
          <w:szCs w:val="20"/>
          <w:lang w:val="en-US" w:eastAsia="zh-CN"/>
        </w:rPr>
      </w:pPr>
    </w:p>
    <w:p>
      <w:pPr>
        <w:rPr>
          <w:rFonts w:hint="default"/>
          <w:b w:val="0"/>
          <w:bCs w:val="0"/>
          <w:i w:val="0"/>
          <w:iCs w:val="0"/>
          <w:lang w:val="en-US" w:eastAsia="zh-CN"/>
        </w:rPr>
      </w:pPr>
      <w:r>
        <w:rPr>
          <w:rFonts w:hint="eastAsia"/>
          <w:b w:val="0"/>
          <w:bCs/>
          <w:i w:val="0"/>
          <w:iCs/>
          <w:strike w:val="0"/>
          <w:dstrike w:val="0"/>
          <w:szCs w:val="20"/>
          <w:lang w:val="en-US" w:eastAsia="zh-CN"/>
        </w:rPr>
        <w:t>From the above agreement, it is agreed that for the 1</w:t>
      </w:r>
      <w:r>
        <w:rPr>
          <w:rFonts w:hint="eastAsia"/>
          <w:b w:val="0"/>
          <w:bCs/>
          <w:i w:val="0"/>
          <w:iCs/>
          <w:strike w:val="0"/>
          <w:dstrike w:val="0"/>
          <w:szCs w:val="20"/>
          <w:vertAlign w:val="superscript"/>
          <w:lang w:val="en-US" w:eastAsia="zh-CN"/>
        </w:rPr>
        <w:t>st</w:t>
      </w:r>
      <w:r>
        <w:rPr>
          <w:rFonts w:hint="eastAsia"/>
          <w:b w:val="0"/>
          <w:bCs/>
          <w:i w:val="0"/>
          <w:iCs/>
          <w:strike w:val="0"/>
          <w:dstrike w:val="0"/>
          <w:szCs w:val="20"/>
          <w:lang w:val="en-US" w:eastAsia="zh-CN"/>
        </w:rPr>
        <w:t xml:space="preserve"> slot of a COT, the Tx UE chooses the earliest starting symbol for PSCCH/PSSCH transmission after clearing LBT. Meanwhile, in the same slot, Tx UE can use the 2</w:t>
      </w:r>
      <w:r>
        <w:rPr>
          <w:rFonts w:hint="eastAsia"/>
          <w:b w:val="0"/>
          <w:bCs/>
          <w:i w:val="0"/>
          <w:iCs/>
          <w:strike w:val="0"/>
          <w:dstrike w:val="0"/>
          <w:szCs w:val="20"/>
          <w:vertAlign w:val="superscript"/>
          <w:lang w:val="en-US" w:eastAsia="zh-CN"/>
        </w:rPr>
        <w:t>nd</w:t>
      </w:r>
      <w:r>
        <w:rPr>
          <w:rFonts w:hint="eastAsia"/>
          <w:b w:val="0"/>
          <w:bCs/>
          <w:i w:val="0"/>
          <w:iCs/>
          <w:strike w:val="0"/>
          <w:dstrike w:val="0"/>
          <w:szCs w:val="20"/>
          <w:lang w:val="en-US" w:eastAsia="zh-CN"/>
        </w:rPr>
        <w:t xml:space="preserve"> starting symbol only if LBT fails at the 1st starting symbol. However, this agreement is not captured in TS38.213. </w:t>
      </w:r>
      <w:r>
        <w:rPr>
          <w:rFonts w:hint="eastAsia"/>
          <w:b w:val="0"/>
          <w:bCs w:val="0"/>
          <w:i w:val="0"/>
          <w:iCs w:val="0"/>
          <w:lang w:val="en-US" w:eastAsia="zh-CN"/>
        </w:rPr>
        <w:t>Therefore, the following TP#1 is prepared.</w:t>
      </w:r>
    </w:p>
    <w:p>
      <w:pPr>
        <w:rPr>
          <w:rFonts w:hint="eastAsia"/>
          <w:b w:val="0"/>
          <w:bCs w:val="0"/>
          <w:i w:val="0"/>
          <w:iCs w:val="0"/>
          <w:lang w:val="en-US" w:eastAsia="zh-CN"/>
        </w:rPr>
      </w:pPr>
      <w:r>
        <w:rPr>
          <w:rFonts w:hint="eastAsia"/>
          <w:b w:val="0"/>
          <w:bCs w:val="0"/>
          <w:i w:val="0"/>
          <w:iCs w:val="0"/>
          <w:lang w:val="en-US" w:eastAsia="zh-CN"/>
        </w:rPr>
        <w:t>The TP#1 of clause 16.4 of TS 38.213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8" w:name="_Toc36498214"/>
            <w:bookmarkStart w:id="9" w:name="_Toc45699244"/>
            <w:bookmarkStart w:id="10" w:name="_Toc29899603"/>
            <w:bookmarkStart w:id="11" w:name="_Toc29894886"/>
            <w:bookmarkStart w:id="12" w:name="_Toc146214479"/>
            <w:bookmarkStart w:id="13" w:name="_Toc29917339"/>
            <w:bookmarkStart w:id="14" w:name="_Toc29899185"/>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UE procedure for transmitting PSCCH</w:t>
            </w:r>
            <w:bookmarkEnd w:id="8"/>
            <w:bookmarkEnd w:id="9"/>
            <w:bookmarkEnd w:id="10"/>
            <w:bookmarkEnd w:id="11"/>
            <w:bookmarkEnd w:id="12"/>
            <w:bookmarkEnd w:id="13"/>
            <w:bookmarkEnd w:id="14"/>
            <w:r>
              <w:rPr>
                <w:rFonts w:ascii="Arial" w:hAnsi="Arial" w:eastAsia="宋体" w:cs="Times New Roman"/>
                <w:sz w:val="32"/>
                <w:lang w:val="en-GB" w:eastAsia="en-US" w:bidi="ar-SA"/>
              </w:rPr>
              <w:t xml:space="preserve"> </w:t>
            </w:r>
          </w:p>
          <w:p>
            <w:pPr>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val="0"/>
          <w:i w:val="0"/>
          <w:iCs w:val="0"/>
          <w:lang w:val="en-US" w:eastAsia="zh-CN"/>
        </w:rPr>
      </w:pPr>
    </w:p>
    <w:p>
      <w:pPr>
        <w:rPr>
          <w:rFonts w:hint="default"/>
          <w:b/>
          <w:bCs/>
          <w:i/>
          <w:iCs/>
          <w:lang w:val="en-US" w:eastAsia="zh-CN"/>
        </w:rPr>
      </w:pPr>
      <w:r>
        <w:rPr>
          <w:rFonts w:hint="eastAsia"/>
          <w:b/>
          <w:bCs/>
          <w:i/>
          <w:iCs/>
          <w:lang w:val="en-US" w:eastAsia="zh-CN"/>
        </w:rPr>
        <w:t>Proposal 3: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 xml:space="preserve">UE procedure for transmitting PSCCH </w:t>
            </w:r>
          </w:p>
          <w:p>
            <w:pPr>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i w:val="0"/>
          <w:iCs/>
          <w:strike w:val="0"/>
          <w:dstrike w:val="0"/>
          <w:szCs w:val="20"/>
          <w:lang w:val="en-US" w:eastAsia="zh-CN"/>
        </w:rPr>
      </w:pPr>
    </w:p>
    <w:p>
      <w:pPr>
        <w:rPr>
          <w:rFonts w:hint="default"/>
          <w:b/>
          <w:i/>
          <w:iCs w:val="0"/>
          <w:strike w:val="0"/>
          <w:dstrike w:val="0"/>
          <w:szCs w:val="20"/>
          <w:lang w:val="en-US" w:eastAsia="zh-CN"/>
        </w:rPr>
      </w:pPr>
      <w:r>
        <w:rPr>
          <w:rFonts w:hint="eastAsia"/>
          <w:b w:val="0"/>
          <w:bCs/>
          <w:i w:val="0"/>
          <w:iCs/>
          <w:strike w:val="0"/>
          <w:dstrike w:val="0"/>
          <w:szCs w:val="20"/>
          <w:lang w:val="en-US" w:eastAsia="zh-CN"/>
        </w:rPr>
        <w:t xml:space="preserve"> </w:t>
      </w: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1#113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New Roman" w:hAnsi="Times New Roman" w:eastAsia="Batang" w:cs="Times New Roman"/>
                <w:b/>
                <w:sz w:val="22"/>
                <w:szCs w:val="22"/>
                <w:lang w:val="en-GB" w:eastAsia="zh-CN"/>
              </w:rPr>
            </w:pPr>
            <w:r>
              <w:rPr>
                <w:rFonts w:ascii="Times New Roman" w:hAnsi="Times New Roman"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When neither COT initiating UE nor responding UE intends to transmit PSFCH on some PSFCH occasion(s) within a COT, to avoid COT interruption, select one or more of the followings:</w:t>
            </w:r>
          </w:p>
          <w:p>
            <w:pPr>
              <w:widowControl w:val="0"/>
              <w:numPr>
                <w:ilvl w:val="0"/>
                <w:numId w:val="11"/>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1: COT initiating UE or responding UE transmits PSSCH on such PSFCH occasion(s)</w:t>
            </w:r>
          </w:p>
          <w:p>
            <w:pPr>
              <w:widowControl w:val="0"/>
              <w:numPr>
                <w:ilvl w:val="1"/>
                <w:numId w:val="11"/>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how PSSCH Rx UE knows such transmission, etc.</w:t>
            </w:r>
          </w:p>
          <w:p>
            <w:pPr>
              <w:widowControl w:val="0"/>
              <w:numPr>
                <w:ilvl w:val="0"/>
                <w:numId w:val="11"/>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2: COT initiating UE or responding UE transmits a PSFCH-like signal on such PSFCH occasion(s)</w:t>
            </w:r>
          </w:p>
          <w:p>
            <w:pPr>
              <w:widowControl w:val="0"/>
              <w:numPr>
                <w:ilvl w:val="1"/>
                <w:numId w:val="11"/>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signaling design, etc.</w:t>
            </w:r>
          </w:p>
          <w:p>
            <w:pPr>
              <w:widowControl w:val="0"/>
              <w:numPr>
                <w:ilvl w:val="0"/>
                <w:numId w:val="11"/>
              </w:numPr>
              <w:suppressAutoHyphens w:val="0"/>
              <w:autoSpaceDE/>
              <w:autoSpaceDN/>
              <w:adjustRightInd/>
              <w:snapToGrid/>
              <w:spacing w:after="0" w:line="240" w:lineRule="auto"/>
              <w:ind w:left="720" w:hanging="360"/>
              <w:jc w:val="left"/>
              <w:rPr>
                <w:rFonts w:hint="default"/>
                <w:b w:val="0"/>
                <w:bCs/>
                <w:i w:val="0"/>
                <w:iCs/>
                <w:strike w:val="0"/>
                <w:dstrike w:val="0"/>
                <w:szCs w:val="20"/>
                <w:vertAlign w:val="baseline"/>
                <w:lang w:val="en-US" w:eastAsia="zh-CN"/>
              </w:rPr>
            </w:pPr>
            <w:r>
              <w:rPr>
                <w:rFonts w:ascii="Times New Roman" w:hAnsi="Times New Roman" w:eastAsia="等线" w:cs="Times New Roman"/>
                <w:sz w:val="22"/>
                <w:szCs w:val="22"/>
                <w:lang w:val="en-GB" w:eastAsia="zh-CN"/>
              </w:rPr>
              <w:t>Option 3: no optimization for this case</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Two alternatives are proposed to address the impact of LBT failure on PSFCH transmission.</w:t>
      </w:r>
    </w:p>
    <w:p>
      <w:pPr>
        <w:rPr>
          <w:rFonts w:hint="default"/>
          <w:lang w:val="en-US" w:eastAsia="zh-CN"/>
        </w:rPr>
      </w:pPr>
      <w:r>
        <w:rPr>
          <w:rFonts w:hint="eastAsia"/>
          <w:lang w:val="en-US" w:eastAsia="zh-CN"/>
        </w:rPr>
        <w:t>More than one PSFCH occasion can be configured, and these PSFCH occasions can be dynamically indicated as available or unavailable by the UE initiating the COT during the COT. For example, PSFCH occasion can be indicated as being located at the end of the COT via SCI, which facilitates consecutive transmission, leaving no gaps in the COT. Candidate PSFCH occasions other than the indicated available PSFCH occasion can be indicated as unavailable. And the resources of these candidate PSFCH occasions indicated as unavailable can be used for PSSCH transmission.</w:t>
      </w:r>
    </w:p>
    <w:p>
      <w:pPr>
        <w:rPr>
          <w:rFonts w:hint="eastAsia"/>
          <w:b/>
          <w:bCs/>
          <w:i/>
          <w:iCs/>
          <w:lang w:val="en-US" w:eastAsia="zh-CN"/>
        </w:rPr>
      </w:pPr>
      <w:r>
        <w:rPr>
          <w:rFonts w:hint="eastAsia"/>
          <w:b/>
          <w:bCs/>
          <w:i/>
          <w:iCs/>
          <w:lang w:val="en-US" w:eastAsia="zh-CN"/>
        </w:rPr>
        <w:t xml:space="preserve">Proposal 4：PSFCH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5:  The resources of candidate PSFCH occasions indicated as unavailable can be used for PSSCH transmission.</w:t>
      </w:r>
    </w:p>
    <w:p>
      <w:pPr>
        <w:rPr>
          <w:rFonts w:hint="default" w:ascii="Times" w:hAnsi="Times" w:eastAsia="Batang" w:cs="Times New Roman"/>
          <w:b/>
          <w:bCs/>
          <w:i/>
          <w:iCs/>
          <w:sz w:val="22"/>
          <w:szCs w:val="22"/>
          <w:lang w:val="en-US" w:eastAsia="zh-CN"/>
        </w:rPr>
      </w:pPr>
    </w:p>
    <w:p>
      <w:pPr>
        <w:rPr>
          <w:rFonts w:hint="default" w:ascii="Times" w:hAnsi="Times" w:eastAsia="Batang" w:cs="Times New Roman"/>
          <w:b/>
          <w:bCs/>
          <w:i/>
          <w:iCs/>
          <w:sz w:val="22"/>
          <w:szCs w:val="22"/>
          <w:lang w:val="en-US" w:eastAsia="zh-CN"/>
        </w:rPr>
      </w:pPr>
      <w:r>
        <w:rPr>
          <w:rFonts w:hint="eastAsia"/>
          <w:b w:val="0"/>
          <w:bCs/>
          <w:i w:val="0"/>
          <w:iCs/>
          <w:strike w:val="0"/>
          <w:dstrike w:val="0"/>
          <w:szCs w:val="20"/>
          <w:lang w:val="en-US" w:eastAsia="zh-CN"/>
        </w:rPr>
        <w:t>In RAN 1#114 meeting, the following agreement was made:[</w:t>
      </w:r>
      <w:r>
        <w:rPr>
          <w:rFonts w:hint="eastAsia"/>
          <w:b w:val="0"/>
          <w:bCs/>
          <w:i w:val="0"/>
          <w:iCs/>
          <w:strike w:val="0"/>
          <w:dstrike w:val="0"/>
          <w:szCs w:val="20"/>
          <w:highlight w:val="none"/>
          <w:lang w:val="en-US" w:eastAsia="zh-CN"/>
        </w:rPr>
        <w:t>5</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autoSpaceDE/>
              <w:autoSpaceDN/>
              <w:adjustRightInd/>
              <w:snapToGrid/>
              <w:spacing w:after="0" w:line="276" w:lineRule="auto"/>
              <w:jc w:val="left"/>
              <w:rPr>
                <w:rFonts w:ascii="Times" w:hAnsi="Times" w:eastAsia="Batang" w:cs="Times New Roman"/>
                <w:sz w:val="22"/>
                <w:szCs w:val="22"/>
                <w:lang w:val="en-GB" w:eastAsia="zh-CN"/>
                <w14:ligatures w14:val="none"/>
              </w:rPr>
            </w:pPr>
            <w:r>
              <w:rPr>
                <w:rFonts w:ascii="Times" w:hAnsi="Times" w:eastAsia="Batang" w:cs="Times New Roman"/>
                <w:sz w:val="22"/>
                <w:szCs w:val="22"/>
                <w:highlight w:val="green"/>
                <w:lang w:val="en-GB" w:eastAsia="zh-CN"/>
                <w14:ligatures w14:val="none"/>
              </w:rPr>
              <w:t>Agreement</w:t>
            </w:r>
          </w:p>
          <w:p>
            <w:pPr>
              <w:widowControl w:val="0"/>
              <w:tabs>
                <w:tab w:val="left" w:pos="0"/>
              </w:tabs>
              <w:autoSpaceDE/>
              <w:autoSpaceDN/>
              <w:adjustRightInd/>
              <w:snapToGrid/>
              <w:spacing w:after="0" w:line="240" w:lineRule="auto"/>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Regarding “</w:t>
            </w:r>
            <w:r>
              <w:rPr>
                <w:rFonts w:ascii="Times" w:hAnsi="Times" w:eastAsia="Batang" w:cs="Times New Roman"/>
                <w:bCs/>
                <w:i/>
                <w:sz w:val="22"/>
                <w:szCs w:val="22"/>
                <w:lang w:val="en-GB" w:eastAsia="zh-CN"/>
                <w14:ligatures w14:val="none"/>
              </w:rPr>
              <w:t>one PSCCH/PSSCH transmission has N associated candidate PSFCH occasion(s)</w:t>
            </w:r>
            <w:r>
              <w:rPr>
                <w:rFonts w:ascii="Times" w:hAnsi="Times" w:eastAsia="Batang" w:cs="Times New Roman"/>
                <w:bCs/>
                <w:sz w:val="22"/>
                <w:szCs w:val="22"/>
                <w:lang w:val="en-GB" w:eastAsia="zh-CN"/>
                <w14:ligatures w14:val="none"/>
              </w:rPr>
              <w:t>” and “</w:t>
            </w:r>
            <w:r>
              <w:rPr>
                <w:rFonts w:ascii="Times" w:hAnsi="Times" w:eastAsia="等线 Light" w:cs="Times New Roman"/>
                <w:i/>
                <w:sz w:val="22"/>
                <w:szCs w:val="22"/>
                <w:lang w:val="en-GB" w:eastAsia="zh-CN"/>
                <w14:ligatures w14:val="none"/>
              </w:rPr>
              <w:t>For one PSCCH/PSSCH transmission, at least support that its associated candidate PSFCH occasion(s) are in different slots of the same RB set(s)</w:t>
            </w:r>
            <w:r>
              <w:rPr>
                <w:rFonts w:ascii="Times" w:hAnsi="Times" w:eastAsia="等线 Light" w:cs="Times New Roman"/>
                <w:sz w:val="22"/>
                <w:szCs w:val="22"/>
                <w:lang w:val="en-GB" w:eastAsia="zh-CN"/>
                <w14:ligatures w14:val="none"/>
              </w:rPr>
              <w:t>”, support</w:t>
            </w:r>
            <w:r>
              <w:rPr>
                <w:rFonts w:ascii="Times" w:hAnsi="Times" w:eastAsia="Batang" w:cs="Times New Roman"/>
                <w:bCs/>
                <w:sz w:val="22"/>
                <w:szCs w:val="22"/>
                <w:lang w:val="en-GB" w:eastAsia="zh-CN"/>
                <w14:ligatures w14:val="none"/>
              </w:rPr>
              <w:t>:</w:t>
            </w:r>
          </w:p>
          <w:p>
            <w:pPr>
              <w:widowControl w:val="0"/>
              <w:numPr>
                <w:ilvl w:val="0"/>
                <w:numId w:val="11"/>
              </w:numPr>
              <w:autoSpaceDE/>
              <w:autoSpaceDN/>
              <w:adjustRightInd/>
              <w:snapToGrid/>
              <w:spacing w:after="0" w:line="240" w:lineRule="auto"/>
              <w:ind w:left="72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Slot index of 1</w:t>
            </w:r>
            <w:r>
              <w:rPr>
                <w:rFonts w:ascii="Times" w:hAnsi="Times" w:eastAsia="Batang" w:cs="Times New Roman"/>
                <w:bCs/>
                <w:sz w:val="22"/>
                <w:szCs w:val="22"/>
                <w:vertAlign w:val="superscript"/>
                <w:lang w:val="en-GB" w:eastAsia="zh-CN"/>
                <w14:ligatures w14:val="none"/>
              </w:rPr>
              <w:t>st</w:t>
            </w:r>
            <w:r>
              <w:rPr>
                <w:rFonts w:ascii="Times" w:hAnsi="Times" w:eastAsia="Batang" w:cs="Times New Roman"/>
                <w:bCs/>
                <w:sz w:val="22"/>
                <w:szCs w:val="22"/>
                <w:lang w:val="en-GB" w:eastAsia="zh-CN"/>
                <w14:ligatures w14:val="none"/>
              </w:rPr>
              <w:t xml:space="preserve"> PSFCH occasion (denoted as slot k) of a PSCCH/PSSCH transmission is determined in the same way as legacy NR SL</w:t>
            </w:r>
          </w:p>
          <w:p>
            <w:pPr>
              <w:widowControl w:val="0"/>
              <w:numPr>
                <w:ilvl w:val="0"/>
                <w:numId w:val="11"/>
              </w:numPr>
              <w:autoSpaceDE/>
              <w:autoSpaceDN/>
              <w:adjustRightInd/>
              <w:snapToGrid/>
              <w:spacing w:after="0" w:line="240" w:lineRule="auto"/>
              <w:ind w:left="72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The n</w:t>
            </w:r>
            <w:r>
              <w:rPr>
                <w:rFonts w:ascii="Times" w:hAnsi="Times" w:eastAsia="Batang" w:cs="Times New Roman"/>
                <w:bCs/>
                <w:sz w:val="22"/>
                <w:szCs w:val="22"/>
                <w:vertAlign w:val="superscript"/>
                <w:lang w:val="en-GB" w:eastAsia="zh-CN"/>
                <w14:ligatures w14:val="none"/>
              </w:rPr>
              <w:t>th</w:t>
            </w:r>
            <w:r>
              <w:rPr>
                <w:rFonts w:ascii="Times" w:hAnsi="Times" w:eastAsia="Batang" w:cs="Times New Roman"/>
                <w:bCs/>
                <w:sz w:val="22"/>
                <w:szCs w:val="22"/>
                <w:lang w:val="en-GB" w:eastAsia="zh-CN"/>
                <w14:ligatures w14:val="none"/>
              </w:rPr>
              <w:t xml:space="preserve"> PSFCH occasion is in slot </w:t>
            </w:r>
            <m:oMath>
              <m:r>
                <m:rPr>
                  <m:sty m:val="p"/>
                </m:rPr>
                <w:rPr>
                  <w:rFonts w:ascii="Cambria Math" w:hAnsi="Cambria Math"/>
                  <w:sz w:val="22"/>
                  <w:szCs w:val="22"/>
                  <w:lang w:eastAsia="zh-CN"/>
                </w:rPr>
                <m:t>k+</m:t>
              </m:r>
              <m:d>
                <m:dPr>
                  <m:ctrlPr>
                    <w:rPr>
                      <w:rFonts w:ascii="Cambria Math" w:hAnsi="Cambria Math"/>
                      <w:bCs/>
                      <w:sz w:val="22"/>
                      <w:szCs w:val="22"/>
                      <w:lang w:eastAsia="zh-CN"/>
                    </w:rPr>
                  </m:ctrlPr>
                </m:dPr>
                <m:e>
                  <m:r>
                    <m:rPr>
                      <m:sty m:val="p"/>
                    </m:rPr>
                    <w:rPr>
                      <w:rFonts w:ascii="Cambria Math" w:hAnsi="Cambria Math"/>
                      <w:sz w:val="22"/>
                      <w:szCs w:val="22"/>
                      <w:lang w:eastAsia="zh-CN"/>
                    </w:rPr>
                    <m:t>n-1</m:t>
                  </m:r>
                  <m:ctrlPr>
                    <w:rPr>
                      <w:rFonts w:ascii="Cambria Math" w:hAnsi="Cambria Math"/>
                      <w:bCs/>
                      <w:sz w:val="22"/>
                      <w:szCs w:val="22"/>
                      <w:lang w:eastAsia="zh-CN"/>
                    </w:rPr>
                  </m:ctrlPr>
                </m:e>
              </m:d>
              <m:r>
                <m:rPr>
                  <m:sty m:val="p"/>
                </m:rPr>
                <w:rPr>
                  <w:rFonts w:ascii="Cambria Math" w:hAnsi="Cambria Math"/>
                  <w:sz w:val="22"/>
                  <w:szCs w:val="22"/>
                  <w:lang w:eastAsia="zh-CN"/>
                </w:rPr>
                <m:t>*P</m:t>
              </m:r>
            </m:oMath>
          </w:p>
          <w:p>
            <w:pPr>
              <w:widowControl w:val="0"/>
              <w:numPr>
                <w:ilvl w:val="2"/>
                <w:numId w:val="11"/>
              </w:numPr>
              <w:autoSpaceDE/>
              <w:autoSpaceDN/>
              <w:adjustRightInd/>
              <w:snapToGrid/>
              <w:spacing w:after="0" w:line="240" w:lineRule="auto"/>
              <w:ind w:left="216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Alt 1: P is equal to the (pre-)configured PSFCH periodicity, i.e., P is provided by </w:t>
            </w:r>
            <w:r>
              <w:rPr>
                <w:rFonts w:ascii="Times" w:hAnsi="Times" w:eastAsia="Batang" w:cs="Times New Roman"/>
                <w:i/>
                <w:iCs/>
                <w:sz w:val="22"/>
                <w:szCs w:val="22"/>
                <w:lang w:val="en-GB" w:eastAsia="en-US"/>
                <w14:ligatures w14:val="none"/>
              </w:rPr>
              <w:t>sl-</w:t>
            </w:r>
            <w:r>
              <w:rPr>
                <w:rFonts w:ascii="Times" w:hAnsi="Times" w:eastAsia="Batang" w:cs="Times New Roman"/>
                <w:i/>
                <w:sz w:val="22"/>
                <w:szCs w:val="22"/>
                <w:lang w:val="en-GB" w:eastAsia="en-US"/>
                <w14:ligatures w14:val="none"/>
              </w:rPr>
              <w:t>PSFCH-Period</w:t>
            </w:r>
          </w:p>
          <w:p>
            <w:pPr>
              <w:widowControl w:val="0"/>
              <w:numPr>
                <w:ilvl w:val="1"/>
                <w:numId w:val="11"/>
              </w:numPr>
              <w:autoSpaceDE/>
              <w:autoSpaceDN/>
              <w:adjustRightInd/>
              <w:snapToGrid/>
              <w:spacing w:after="0" w:line="240" w:lineRule="auto"/>
              <w:jc w:val="left"/>
              <w:rPr>
                <w:rFonts w:ascii="Times" w:hAnsi="Times" w:eastAsia="Batang" w:cs="Times New Roman"/>
                <w:bCs/>
                <w:sz w:val="22"/>
                <w:szCs w:val="22"/>
                <w:lang w:val="en-GB" w:eastAsia="zh-CN"/>
                <w14:ligatures w14:val="none"/>
              </w:rPr>
            </w:pPr>
            <m:oMath>
              <m:r>
                <m:rPr>
                  <m:sty m:val="p"/>
                </m:rPr>
                <w:rPr>
                  <w:rFonts w:ascii="Cambria Math" w:hAnsi="Cambria Math"/>
                  <w:sz w:val="22"/>
                  <w:szCs w:val="22"/>
                  <w:lang w:eastAsia="zh-CN"/>
                </w:rPr>
                <m:t>1≤n≤N</m:t>
              </m:r>
            </m:oMath>
          </w:p>
          <w:p>
            <w:pPr>
              <w:widowControl w:val="0"/>
              <w:numPr>
                <w:ilvl w:val="0"/>
                <w:numId w:val="11"/>
              </w:numPr>
              <w:autoSpaceDE/>
              <w:autoSpaceDN/>
              <w:adjustRightInd/>
              <w:snapToGrid/>
              <w:spacing w:after="0" w:line="240" w:lineRule="auto"/>
              <w:ind w:left="72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pPr>
              <w:widowControl w:val="0"/>
              <w:numPr>
                <w:ilvl w:val="1"/>
                <w:numId w:val="11"/>
              </w:numPr>
              <w:autoSpaceDE/>
              <w:autoSpaceDN/>
              <w:adjustRightInd/>
              <w:snapToGrid/>
              <w:spacing w:after="0" w:line="240" w:lineRule="auto"/>
              <w:ind w:left="144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Within this RB set, for one sub-channel on one slot of PSCCH/PSSCH transmission, its n</w:t>
            </w:r>
            <w:r>
              <w:rPr>
                <w:rFonts w:ascii="Times" w:hAnsi="Times" w:eastAsia="Batang" w:cs="Times New Roman"/>
                <w:bCs/>
                <w:sz w:val="22"/>
                <w:szCs w:val="22"/>
                <w:vertAlign w:val="superscript"/>
                <w:lang w:val="en-GB" w:eastAsia="zh-CN"/>
                <w14:ligatures w14:val="none"/>
              </w:rPr>
              <w:t>th</w:t>
            </w:r>
            <w:r>
              <w:rPr>
                <w:rFonts w:ascii="Times" w:hAnsi="Times" w:eastAsia="Batang" w:cs="Times New Roman"/>
                <w:bCs/>
                <w:sz w:val="22"/>
                <w:szCs w:val="22"/>
                <w:lang w:val="en-GB" w:eastAsia="zh-CN"/>
                <w14:ligatures w14:val="none"/>
              </w:rPr>
              <w:t xml:space="preserve"> PSFCH occasion includes PRBs belonging to above set#n in slot </w:t>
            </w:r>
            <m:oMath>
              <m:r>
                <m:rPr>
                  <m:sty m:val="p"/>
                </m:rPr>
                <w:rPr>
                  <w:rFonts w:ascii="Cambria Math" w:hAnsi="Cambria Math"/>
                  <w:sz w:val="22"/>
                  <w:szCs w:val="22"/>
                  <w:lang w:eastAsia="zh-CN"/>
                </w:rPr>
                <m:t>k+</m:t>
              </m:r>
              <m:d>
                <m:dPr>
                  <m:ctrlPr>
                    <w:rPr>
                      <w:rFonts w:ascii="Cambria Math" w:hAnsi="Cambria Math"/>
                      <w:bCs/>
                      <w:sz w:val="22"/>
                      <w:szCs w:val="22"/>
                      <w:lang w:eastAsia="zh-CN"/>
                    </w:rPr>
                  </m:ctrlPr>
                </m:dPr>
                <m:e>
                  <m:r>
                    <m:rPr>
                      <m:sty m:val="p"/>
                    </m:rPr>
                    <w:rPr>
                      <w:rFonts w:ascii="Cambria Math" w:hAnsi="Cambria Math"/>
                      <w:sz w:val="22"/>
                      <w:szCs w:val="22"/>
                      <w:lang w:eastAsia="zh-CN"/>
                    </w:rPr>
                    <m:t>n-1</m:t>
                  </m:r>
                  <m:ctrlPr>
                    <w:rPr>
                      <w:rFonts w:ascii="Cambria Math" w:hAnsi="Cambria Math"/>
                      <w:bCs/>
                      <w:sz w:val="22"/>
                      <w:szCs w:val="22"/>
                      <w:lang w:eastAsia="zh-CN"/>
                    </w:rPr>
                  </m:ctrlPr>
                </m:e>
              </m:d>
              <m:r>
                <m:rPr>
                  <m:sty m:val="p"/>
                </m:rPr>
                <w:rPr>
                  <w:rFonts w:ascii="Cambria Math" w:hAnsi="Cambria Math"/>
                  <w:sz w:val="22"/>
                  <w:szCs w:val="22"/>
                  <w:lang w:eastAsia="zh-CN"/>
                </w:rPr>
                <m:t>*P</m:t>
              </m:r>
            </m:oMath>
            <w:r>
              <w:rPr>
                <w:rFonts w:ascii="Times" w:hAnsi="Times" w:eastAsia="Batang" w:cs="Times New Roman"/>
                <w:bCs/>
                <w:sz w:val="22"/>
                <w:szCs w:val="22"/>
                <w:lang w:val="en-GB" w:eastAsia="zh-CN"/>
                <w14:ligatures w14:val="none"/>
              </w:rPr>
              <w:t xml:space="preserve"> </w:t>
            </w:r>
          </w:p>
          <w:p>
            <w:pPr>
              <w:widowControl w:val="0"/>
              <w:numPr>
                <w:ilvl w:val="1"/>
                <w:numId w:val="11"/>
              </w:numPr>
              <w:autoSpaceDE/>
              <w:autoSpaceDN/>
              <w:adjustRightInd/>
              <w:snapToGrid/>
              <w:spacing w:after="0" w:line="240" w:lineRule="auto"/>
              <w:ind w:left="1440" w:hanging="360"/>
              <w:jc w:val="left"/>
              <w:rPr>
                <w:rFonts w:hint="default" w:ascii="Times" w:hAnsi="Times" w:eastAsia="Batang" w:cs="Times New Roman"/>
                <w:b/>
                <w:bCs/>
                <w:i/>
                <w:iCs/>
                <w:sz w:val="22"/>
                <w:szCs w:val="22"/>
                <w:vertAlign w:val="baseline"/>
                <w:lang w:val="en-US" w:eastAsia="zh-CN"/>
              </w:rPr>
            </w:pPr>
            <w:r>
              <w:rPr>
                <w:rFonts w:ascii="Times" w:hAnsi="Times" w:eastAsia="Batang" w:cs="Times New Roman"/>
                <w:bCs/>
                <w:sz w:val="22"/>
                <w:szCs w:val="22"/>
                <w:lang w:val="en-GB" w:eastAsia="zh-CN"/>
                <w14:ligatures w14:val="none"/>
              </w:rPr>
              <w:t>FFS: whether to use 1 or N bitmaps to indicate resource for N candidate PSFCH occasion(s), respectively</w:t>
            </w:r>
          </w:p>
          <w:p>
            <w:pPr>
              <w:widowControl w:val="0"/>
              <w:numPr>
                <w:ilvl w:val="0"/>
                <w:numId w:val="0"/>
              </w:numPr>
              <w:autoSpaceDE/>
              <w:autoSpaceDN/>
              <w:adjustRightInd/>
              <w:snapToGrid/>
              <w:spacing w:after="0" w:line="240" w:lineRule="auto"/>
              <w:jc w:val="left"/>
              <w:rPr>
                <w:rFonts w:hint="default" w:ascii="Times" w:hAnsi="Times" w:eastAsia="Batang" w:cs="Times New Roman"/>
                <w:bCs/>
                <w:sz w:val="22"/>
                <w:szCs w:val="22"/>
                <w:lang w:val="en-US" w:eastAsia="zh-CN"/>
                <w14:ligatures w14:val="none"/>
              </w:rPr>
            </w:pPr>
          </w:p>
        </w:tc>
      </w:tr>
    </w:tbl>
    <w:p>
      <w:pPr>
        <w:rPr>
          <w:rFonts w:hint="default" w:ascii="Times" w:hAnsi="Times" w:eastAsia="Batang" w:cs="Times New Roman"/>
          <w:b/>
          <w:bCs/>
          <w:i/>
          <w:iCs/>
          <w:sz w:val="22"/>
          <w:szCs w:val="22"/>
          <w:lang w:val="en-US" w:eastAsia="zh-CN"/>
        </w:rPr>
      </w:pPr>
    </w:p>
    <w:p>
      <w:pPr>
        <w:rPr>
          <w:rFonts w:hint="default"/>
          <w:b w:val="0"/>
          <w:bCs w:val="0"/>
          <w:i w:val="0"/>
          <w:iCs w:val="0"/>
          <w:lang w:val="en-US" w:eastAsia="zh-CN"/>
        </w:rPr>
      </w:pPr>
      <w:r>
        <w:rPr>
          <w:rFonts w:hint="eastAsia"/>
          <w:b w:val="0"/>
          <w:bCs w:val="0"/>
          <w:i w:val="0"/>
          <w:iCs w:val="0"/>
          <w:lang w:val="en-US" w:eastAsia="zh-CN"/>
        </w:rPr>
        <w:t xml:space="preserve">By means of RRC signaling or pre-configuration, different sets of resources are configured for the PSFCHs on different PSFCH occasions associated to the same PSSCH transmission, respectively. That is, the PSFCHs on different PSFCH occasions associated to the same PSSCH transmission belong to different sets of resources. This method is similar to the PSFCH resource set configuration which is used for conflict indication. </w:t>
      </w:r>
    </w:p>
    <w:p>
      <w:pPr>
        <w:rPr>
          <w:rFonts w:hint="eastAsia"/>
          <w:b/>
          <w:bCs/>
          <w:i/>
          <w:iCs/>
          <w:lang w:val="en-US" w:eastAsia="zh-CN"/>
        </w:rPr>
      </w:pPr>
      <w:r>
        <w:rPr>
          <w:rFonts w:hint="eastAsia"/>
          <w:b/>
          <w:bCs/>
          <w:i/>
          <w:iCs/>
          <w:lang w:val="en-US" w:eastAsia="zh-CN"/>
        </w:rPr>
        <w:t xml:space="preserve">Proposal 6: </w:t>
      </w:r>
      <w:r>
        <w:rPr>
          <w:rFonts w:ascii="Times" w:hAnsi="Times" w:eastAsia="Batang" w:cs="Times New Roman"/>
          <w:b/>
          <w:bCs w:val="0"/>
          <w:i/>
          <w:iCs/>
          <w:sz w:val="22"/>
          <w:szCs w:val="22"/>
          <w:lang w:val="en-GB" w:eastAsia="zh-CN"/>
          <w14:ligatures w14:val="none"/>
        </w:rPr>
        <w:t>N bitmaps</w:t>
      </w:r>
      <w:r>
        <w:rPr>
          <w:rFonts w:hint="eastAsia" w:ascii="Times" w:hAnsi="Times" w:eastAsia="Batang" w:cs="Times New Roman"/>
          <w:b/>
          <w:bCs w:val="0"/>
          <w:i/>
          <w:iCs/>
          <w:sz w:val="22"/>
          <w:szCs w:val="22"/>
          <w:lang w:val="en-US" w:eastAsia="zh-CN"/>
          <w14:ligatures w14:val="none"/>
        </w:rPr>
        <w:t xml:space="preserve"> are used</w:t>
      </w:r>
      <w:r>
        <w:rPr>
          <w:rFonts w:ascii="Times" w:hAnsi="Times" w:eastAsia="Batang" w:cs="Times New Roman"/>
          <w:b/>
          <w:bCs w:val="0"/>
          <w:i/>
          <w:iCs/>
          <w:sz w:val="22"/>
          <w:szCs w:val="22"/>
          <w:lang w:val="en-GB" w:eastAsia="zh-CN"/>
          <w14:ligatures w14:val="none"/>
        </w:rPr>
        <w:t xml:space="preserve"> to indicate resource for N candidate PSFCH occasion(s), respectively</w:t>
      </w:r>
      <w:r>
        <w:rPr>
          <w:rFonts w:hint="eastAsia"/>
          <w:b/>
          <w:bCs w:val="0"/>
          <w:i/>
          <w:iCs/>
          <w:lang w:val="en-US" w:eastAsia="zh-CN"/>
        </w:rPr>
        <w:t>.</w:t>
      </w:r>
    </w:p>
    <w:p>
      <w:pPr>
        <w:rPr>
          <w:rFonts w:hint="eastAsia"/>
          <w:b/>
          <w:bCs/>
          <w:i/>
          <w:iCs/>
          <w:lang w:val="en-US" w:eastAsia="zh-CN"/>
        </w:rPr>
      </w:pPr>
    </w:p>
    <w:p>
      <w:pPr>
        <w:rPr>
          <w:rFonts w:hint="eastAsia"/>
          <w:b/>
          <w:bCs/>
          <w:i/>
          <w:iCs/>
          <w:lang w:val="en-US" w:eastAsia="zh-CN"/>
        </w:rPr>
      </w:pPr>
      <w:r>
        <w:rPr>
          <w:rFonts w:hint="eastAsia"/>
          <w:b w:val="0"/>
          <w:bCs/>
          <w:i w:val="0"/>
          <w:iCs/>
          <w:strike w:val="0"/>
          <w:dstrike w:val="0"/>
          <w:szCs w:val="20"/>
          <w:lang w:val="en-US" w:eastAsia="zh-CN"/>
        </w:rPr>
        <w:t>In RAN 1#114 meeting, the following agreement was made:[</w:t>
      </w:r>
      <w:r>
        <w:rPr>
          <w:rFonts w:hint="eastAsia"/>
          <w:b w:val="0"/>
          <w:bCs/>
          <w:i w:val="0"/>
          <w:iCs/>
          <w:strike w:val="0"/>
          <w:dstrike w:val="0"/>
          <w:szCs w:val="20"/>
          <w:highlight w:val="none"/>
          <w:lang w:val="en-US" w:eastAsia="zh-CN"/>
        </w:rPr>
        <w:t>5</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autoSpaceDE/>
              <w:autoSpaceDN/>
              <w:adjustRightInd/>
              <w:snapToGrid/>
              <w:spacing w:after="0" w:line="276" w:lineRule="auto"/>
              <w:jc w:val="left"/>
              <w:rPr>
                <w:rFonts w:ascii="Times" w:hAnsi="Times" w:eastAsia="Batang" w:cs="Times New Roman"/>
                <w:sz w:val="22"/>
                <w:szCs w:val="22"/>
                <w:lang w:val="en-GB" w:eastAsia="zh-CN"/>
                <w14:ligatures w14:val="none"/>
              </w:rPr>
            </w:pPr>
            <w:r>
              <w:rPr>
                <w:rFonts w:ascii="Times" w:hAnsi="Times" w:eastAsia="Batang" w:cs="Times New Roman"/>
                <w:sz w:val="22"/>
                <w:szCs w:val="22"/>
                <w:highlight w:val="green"/>
                <w:lang w:val="en-GB" w:eastAsia="zh-CN"/>
                <w14:ligatures w14:val="none"/>
              </w:rPr>
              <w:t>Agreement</w:t>
            </w:r>
          </w:p>
          <w:p>
            <w:pPr>
              <w:widowControl w:val="0"/>
              <w:autoSpaceDE/>
              <w:autoSpaceDN/>
              <w:adjustRightInd/>
              <w:snapToGrid/>
              <w:spacing w:after="0" w:line="240" w:lineRule="auto"/>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en-US"/>
                <w14:ligatures w14:val="none"/>
              </w:rPr>
              <w:t xml:space="preserve">In </w:t>
            </w:r>
            <w:r>
              <w:rPr>
                <w:rFonts w:ascii="Times" w:hAnsi="Times" w:eastAsia="Batang" w:cs="Times New Roman"/>
                <w:bCs/>
                <w:sz w:val="22"/>
                <w:szCs w:val="22"/>
                <w:lang w:val="en-GB" w:eastAsia="zh-CN"/>
                <w14:ligatures w14:val="none"/>
              </w:rPr>
              <w:t>“</w:t>
            </w:r>
            <w:r>
              <w:rPr>
                <w:rFonts w:ascii="Times" w:hAnsi="Times" w:eastAsia="Batang" w:cs="Times New Roman"/>
                <w:bCs/>
                <w:i/>
                <w:sz w:val="22"/>
                <w:szCs w:val="22"/>
                <w:lang w:val="en-GB" w:eastAsia="zh-CN"/>
                <w14:ligatures w14:val="none"/>
              </w:rPr>
              <w:t>one PSCCH/PSSCH transmission has N associated candidate PSFCH occasion(s)</w:t>
            </w:r>
            <w:r>
              <w:rPr>
                <w:rFonts w:ascii="Times" w:hAnsi="Times" w:eastAsia="Batang" w:cs="Times New Roman"/>
                <w:bCs/>
                <w:sz w:val="22"/>
                <w:szCs w:val="22"/>
                <w:lang w:val="en-GB" w:eastAsia="zh-CN"/>
                <w14:ligatures w14:val="none"/>
              </w:rPr>
              <w:t>”, regarding Rx UE behaviour</w:t>
            </w:r>
            <w:r>
              <w:rPr>
                <w:rFonts w:ascii="Times" w:hAnsi="Times" w:eastAsia="Batang" w:cs="Times New Roman"/>
                <w:bCs/>
                <w:sz w:val="22"/>
                <w:szCs w:val="22"/>
                <w:lang w:val="en-GB" w:eastAsia="en-US"/>
                <w14:ligatures w14:val="none"/>
              </w:rPr>
              <w:t xml:space="preserve"> </w:t>
            </w:r>
            <w:r>
              <w:rPr>
                <w:rFonts w:ascii="Times" w:hAnsi="Times" w:eastAsia="Batang" w:cs="Times New Roman"/>
                <w:bCs/>
                <w:sz w:val="22"/>
                <w:szCs w:val="22"/>
                <w:lang w:val="en-GB" w:eastAsia="zh-CN"/>
                <w14:ligatures w14:val="none"/>
              </w:rPr>
              <w:t>on receiving PSFCH for a PSCCH/PSSCH transmission, support:</w:t>
            </w:r>
          </w:p>
          <w:p>
            <w:pPr>
              <w:widowControl w:val="0"/>
              <w:numPr>
                <w:ilvl w:val="0"/>
                <w:numId w:val="11"/>
              </w:numPr>
              <w:autoSpaceDE/>
              <w:autoSpaceDN/>
              <w:adjustRightInd/>
              <w:snapToGrid/>
              <w:spacing w:after="0" w:line="240" w:lineRule="auto"/>
              <w:ind w:left="72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For unicast: </w:t>
            </w:r>
          </w:p>
          <w:p>
            <w:pPr>
              <w:widowControl w:val="0"/>
              <w:numPr>
                <w:ilvl w:val="1"/>
                <w:numId w:val="11"/>
              </w:numPr>
              <w:autoSpaceDE/>
              <w:autoSpaceDN/>
              <w:adjustRightInd/>
              <w:snapToGrid/>
              <w:spacing w:after="0" w:line="240" w:lineRule="auto"/>
              <w:ind w:left="144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Monitor: </w:t>
            </w:r>
          </w:p>
          <w:p>
            <w:pPr>
              <w:widowControl w:val="0"/>
              <w:numPr>
                <w:ilvl w:val="2"/>
                <w:numId w:val="11"/>
              </w:numPr>
              <w:autoSpaceDE/>
              <w:autoSpaceDN/>
              <w:adjustRightInd/>
              <w:snapToGrid/>
              <w:spacing w:after="0" w:line="240" w:lineRule="auto"/>
              <w:ind w:left="216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Alt 1: Rx UE attempts to monitor all candidate PSFCH occasion(s) </w:t>
            </w:r>
          </w:p>
          <w:p>
            <w:pPr>
              <w:widowControl w:val="0"/>
              <w:numPr>
                <w:ilvl w:val="3"/>
                <w:numId w:val="11"/>
              </w:numPr>
              <w:autoSpaceDE/>
              <w:autoSpaceDN/>
              <w:adjustRightInd/>
              <w:snapToGrid/>
              <w:spacing w:after="0" w:line="240" w:lineRule="auto"/>
              <w:ind w:left="288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If one PSFCH is detected, Rx UE can omit monitoring following candidate PSFCH occasion(s), if any.</w:t>
            </w:r>
          </w:p>
          <w:p>
            <w:pPr>
              <w:widowControl w:val="0"/>
              <w:numPr>
                <w:ilvl w:val="2"/>
                <w:numId w:val="11"/>
              </w:numPr>
              <w:autoSpaceDE/>
              <w:autoSpaceDN/>
              <w:adjustRightInd/>
              <w:snapToGrid/>
              <w:spacing w:after="0" w:line="240" w:lineRule="auto"/>
              <w:ind w:left="216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PSFCH prioritization rule is used</w:t>
            </w:r>
          </w:p>
          <w:p>
            <w:pPr>
              <w:widowControl w:val="0"/>
              <w:numPr>
                <w:ilvl w:val="0"/>
                <w:numId w:val="11"/>
              </w:numPr>
              <w:autoSpaceDE/>
              <w:autoSpaceDN/>
              <w:adjustRightInd/>
              <w:snapToGrid/>
              <w:spacing w:after="0" w:line="240" w:lineRule="auto"/>
              <w:ind w:left="72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For groupcast option 2 (ACK/NACK): </w:t>
            </w:r>
          </w:p>
          <w:p>
            <w:pPr>
              <w:widowControl w:val="0"/>
              <w:numPr>
                <w:ilvl w:val="1"/>
                <w:numId w:val="11"/>
              </w:numPr>
              <w:autoSpaceDE/>
              <w:autoSpaceDN/>
              <w:adjustRightInd/>
              <w:snapToGrid/>
              <w:spacing w:after="0" w:line="240" w:lineRule="auto"/>
              <w:ind w:left="144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Monitor: </w:t>
            </w:r>
          </w:p>
          <w:p>
            <w:pPr>
              <w:widowControl w:val="0"/>
              <w:numPr>
                <w:ilvl w:val="2"/>
                <w:numId w:val="11"/>
              </w:numPr>
              <w:autoSpaceDE/>
              <w:autoSpaceDN/>
              <w:adjustRightInd/>
              <w:snapToGrid/>
              <w:spacing w:after="0" w:line="240" w:lineRule="auto"/>
              <w:ind w:left="216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Alt 1: Rx UE attempts to monitor all PSFCH transmission occasions. </w:t>
            </w:r>
          </w:p>
          <w:p>
            <w:pPr>
              <w:widowControl w:val="0"/>
              <w:numPr>
                <w:ilvl w:val="3"/>
                <w:numId w:val="11"/>
              </w:numPr>
              <w:autoSpaceDE/>
              <w:autoSpaceDN/>
              <w:adjustRightInd/>
              <w:snapToGrid/>
              <w:spacing w:after="0" w:line="240" w:lineRule="auto"/>
              <w:ind w:left="2880" w:hanging="360"/>
              <w:jc w:val="left"/>
              <w:rPr>
                <w:rFonts w:ascii="Times" w:hAnsi="Times" w:eastAsia="Batang" w:cs="Times New Roman"/>
                <w:bCs/>
                <w:sz w:val="22"/>
                <w:szCs w:val="22"/>
                <w:lang w:val="en-GB" w:eastAsia="zh-CN"/>
                <w14:ligatures w14:val="none"/>
              </w:rPr>
            </w:pPr>
            <w:r>
              <w:rPr>
                <w:rFonts w:ascii="Times" w:hAnsi="Times" w:eastAsia="Batang" w:cs="Times New Roman"/>
                <w:bCs/>
                <w:sz w:val="22"/>
                <w:szCs w:val="22"/>
                <w:lang w:val="en-GB" w:eastAsia="zh-CN"/>
                <w14:ligatures w14:val="none"/>
              </w:rPr>
              <w:t xml:space="preserve">If Rx UE detects PSFCH from a PSFCH transmitter, it can omit PSFCH detection for following PSFCH transmission occasions for this PSFCH transmitter, if any. </w:t>
            </w:r>
          </w:p>
          <w:p>
            <w:pPr>
              <w:widowControl w:val="0"/>
              <w:numPr>
                <w:ilvl w:val="2"/>
                <w:numId w:val="11"/>
              </w:numPr>
              <w:autoSpaceDE/>
              <w:autoSpaceDN/>
              <w:adjustRightInd/>
              <w:snapToGrid/>
              <w:spacing w:after="0" w:line="240" w:lineRule="auto"/>
              <w:ind w:left="2160" w:hanging="360"/>
              <w:jc w:val="left"/>
              <w:rPr>
                <w:rFonts w:hint="eastAsia"/>
                <w:b/>
                <w:bCs/>
                <w:i/>
                <w:iCs/>
                <w:vertAlign w:val="baseline"/>
                <w:lang w:val="en-US" w:eastAsia="zh-CN"/>
              </w:rPr>
            </w:pPr>
            <w:r>
              <w:rPr>
                <w:rFonts w:ascii="Times" w:hAnsi="Times" w:eastAsia="Batang" w:cs="Times New Roman"/>
                <w:bCs/>
                <w:sz w:val="22"/>
                <w:szCs w:val="22"/>
                <w:lang w:val="en-GB" w:eastAsia="zh-CN"/>
                <w14:ligatures w14:val="none"/>
              </w:rPr>
              <w:t>PSFCH prioritization rule is used</w:t>
            </w:r>
          </w:p>
        </w:tc>
      </w:tr>
    </w:tbl>
    <w:p>
      <w:pPr>
        <w:rPr>
          <w:rFonts w:hint="eastAsia"/>
          <w:b/>
          <w:bCs/>
          <w:i/>
          <w:iCs/>
          <w:lang w:val="en-US" w:eastAsia="zh-CN"/>
        </w:rPr>
      </w:pPr>
    </w:p>
    <w:p>
      <w:pPr>
        <w:rPr>
          <w:rFonts w:hint="default"/>
          <w:b w:val="0"/>
          <w:bCs w:val="0"/>
          <w:i w:val="0"/>
          <w:iCs w:val="0"/>
          <w:lang w:val="en-US" w:eastAsia="zh-CN"/>
        </w:rPr>
      </w:pPr>
      <w:r>
        <w:rPr>
          <w:rFonts w:hint="eastAsia"/>
          <w:b w:val="0"/>
          <w:bCs w:val="0"/>
          <w:i w:val="0"/>
          <w:iCs w:val="0"/>
          <w:lang w:val="en-US" w:eastAsia="zh-CN"/>
        </w:rPr>
        <w:t>However, the above agreement is not captured in the latest TS 38.213, therefore, the following TP#2 is prepared.</w:t>
      </w:r>
    </w:p>
    <w:p>
      <w:pPr>
        <w:rPr>
          <w:rFonts w:hint="default"/>
          <w:b w:val="0"/>
          <w:bCs w:val="0"/>
          <w:i w:val="0"/>
          <w:iCs w:val="0"/>
          <w:lang w:val="en-US" w:eastAsia="zh-CN"/>
        </w:rPr>
      </w:pPr>
      <w:r>
        <w:rPr>
          <w:rFonts w:hint="eastAsia"/>
          <w:b w:val="0"/>
          <w:bCs w:val="0"/>
          <w:i w:val="0"/>
          <w:iCs w:val="0"/>
          <w:lang w:val="en-US" w:eastAsia="zh-CN"/>
        </w:rPr>
        <w:t>The TP#2 of clause 16.3.1 of TS 38.213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widowControl w:val="0"/>
              <w:jc w:val="center"/>
              <w:rPr>
                <w:rFonts w:eastAsia="Malgun Gothic"/>
                <w:color w:val="000000" w:themeColor="text1"/>
                <w14:textFill>
                  <w14:solidFill>
                    <w14:schemeClr w14:val="tx1"/>
                  </w14:solidFill>
                </w14:textFill>
              </w:rPr>
            </w:pPr>
            <w:r>
              <w:rPr>
                <w:sz w:val="20"/>
                <w:szCs w:val="20"/>
              </w:rPr>
              <w:t>……</w:t>
            </w:r>
          </w:p>
          <w:p>
            <w:pPr>
              <w:rPr>
                <w:rFonts w:hint="default" w:eastAsiaTheme="minorEastAsia"/>
                <w:lang w:val="en-US" w:eastAsia="zh-CN"/>
              </w:rPr>
            </w:pPr>
            <w:r>
              <w:rPr>
                <w:color w:val="FF0000"/>
                <w:sz w:val="22"/>
                <w:szCs w:val="22"/>
              </w:rPr>
              <w:t xml:space="preserve">For operation with shared spectrum channel access, </w:t>
            </w:r>
            <w:r>
              <w:rPr>
                <w:rFonts w:hint="eastAsia"/>
                <w:color w:val="FF0000"/>
                <w:lang w:val="en-US" w:eastAsia="zh-CN"/>
              </w:rPr>
              <w:t>a</w:t>
            </w:r>
            <w:r>
              <w:rPr>
                <w:color w:val="FF0000"/>
                <w:lang w:val="en-US" w:eastAsia="zh-CN"/>
              </w:rPr>
              <w:t xml:space="preserve"> UE </w:t>
            </w:r>
            <w:r>
              <w:rPr>
                <w:rFonts w:hint="eastAsia"/>
                <w:color w:val="FF0000"/>
                <w:lang w:val="en-US" w:eastAsia="zh-CN"/>
              </w:rPr>
              <w:t>can</w:t>
            </w:r>
            <w:r>
              <w:rPr>
                <w:color w:val="FF0000"/>
                <w:lang w:val="en-US" w:eastAsia="zh-CN"/>
              </w:rPr>
              <w:t xml:space="preserve"> attempt to receive associated PSFCH with </w:t>
            </w:r>
            <w:r>
              <w:rPr>
                <w:rFonts w:hint="eastAsia"/>
                <w:color w:val="FF0000"/>
                <w:lang w:val="en-US" w:eastAsia="zh-CN"/>
              </w:rPr>
              <w:t>HARQ-ACK information</w:t>
            </w:r>
            <w:r>
              <w:rPr>
                <w:color w:val="FF0000"/>
                <w:lang w:val="en-US" w:eastAsia="zh-CN"/>
              </w:rPr>
              <w:t xml:space="preserve"> in the resource pool </w:t>
            </w:r>
            <w:r>
              <w:rPr>
                <w:rFonts w:eastAsiaTheme="minorEastAsia"/>
                <w:color w:val="FF0000"/>
                <w:lang w:val="en-US"/>
              </w:rPr>
              <w:t>with</w:t>
            </w:r>
            <w:r>
              <w:rPr>
                <w:rFonts w:eastAsiaTheme="minorEastAsia"/>
                <w:color w:val="FF0000"/>
              </w:rPr>
              <w:t xml:space="preserve"> PSFCH resources </w:t>
            </w:r>
            <w:r>
              <w:rPr>
                <w:rFonts w:eastAsiaTheme="minorEastAsia"/>
                <w:color w:val="FF0000"/>
                <w:lang w:val="en-US"/>
              </w:rPr>
              <w:t xml:space="preserve">that the UE </w:t>
            </w:r>
            <w:r>
              <w:rPr>
                <w:rFonts w:eastAsiaTheme="minorEastAsia"/>
                <w:color w:val="FF0000"/>
              </w:rPr>
              <w:t>determine</w:t>
            </w:r>
            <w:r>
              <w:rPr>
                <w:rFonts w:eastAsiaTheme="minorEastAsia"/>
                <w:color w:val="FF0000"/>
                <w:lang w:val="en-US"/>
              </w:rPr>
              <w:t>s</w:t>
            </w:r>
            <w:r>
              <w:rPr>
                <w:rFonts w:eastAsiaTheme="minorEastAsia"/>
                <w:color w:val="FF0000"/>
              </w:rPr>
              <w:t xml:space="preserve"> as described in clause 16.3.0</w:t>
            </w:r>
            <w:r>
              <w:rPr>
                <w:rFonts w:eastAsiaTheme="minorEastAsia"/>
                <w:color w:val="FF0000"/>
                <w:lang w:val="en-US"/>
              </w:rPr>
              <w:t xml:space="preserve">. </w:t>
            </w:r>
            <w:r>
              <w:rPr>
                <w:rFonts w:hint="eastAsia" w:eastAsiaTheme="minorEastAsia"/>
                <w:color w:val="FF0000"/>
                <w:lang w:val="en-US" w:eastAsia="zh-CN"/>
              </w:rPr>
              <w:t xml:space="preserve">The UE can omit </w:t>
            </w:r>
            <w:r>
              <w:rPr>
                <w:rFonts w:ascii="Times" w:hAnsi="Times" w:eastAsia="Batang" w:cs="Times New Roman"/>
                <w:bCs/>
                <w:color w:val="FF0000"/>
                <w:sz w:val="22"/>
                <w:szCs w:val="22"/>
                <w:lang w:val="en-GB" w:eastAsia="zh-CN"/>
                <w14:ligatures w14:val="none"/>
              </w:rPr>
              <w:t xml:space="preserve">monitoring </w:t>
            </w:r>
            <w:r>
              <w:rPr>
                <w:rFonts w:hint="eastAsia" w:ascii="Times" w:hAnsi="Times" w:eastAsia="Batang" w:cs="Times New Roman"/>
                <w:bCs/>
                <w:color w:val="FF0000"/>
                <w:sz w:val="22"/>
                <w:szCs w:val="22"/>
                <w:lang w:val="en-US" w:eastAsia="zh-CN"/>
                <w14:ligatures w14:val="none"/>
              </w:rPr>
              <w:t xml:space="preserve">the </w:t>
            </w:r>
            <w:r>
              <w:rPr>
                <w:rFonts w:ascii="Times" w:hAnsi="Times" w:eastAsia="Batang" w:cs="Times New Roman"/>
                <w:bCs/>
                <w:color w:val="FF0000"/>
                <w:sz w:val="22"/>
                <w:szCs w:val="22"/>
                <w:lang w:val="en-GB" w:eastAsia="zh-CN"/>
                <w14:ligatures w14:val="none"/>
              </w:rPr>
              <w:t>candidate PSFCH occasion(s)</w:t>
            </w:r>
            <w:r>
              <w:rPr>
                <w:rFonts w:hint="eastAsia" w:ascii="Times" w:hAnsi="Times" w:eastAsia="Batang" w:cs="Times New Roman"/>
                <w:bCs/>
                <w:color w:val="FF0000"/>
                <w:sz w:val="22"/>
                <w:szCs w:val="22"/>
                <w:lang w:val="en-US" w:eastAsia="zh-CN"/>
                <w14:ligatures w14:val="none"/>
              </w:rPr>
              <w:t xml:space="preserve"> associated with the PSSCH in all following slots for PSFCH within the </w:t>
            </w:r>
            <m:oMath>
              <m:sSubSup>
                <m:sSubSupPr>
                  <m:ctrlPr>
                    <w:rPr>
                      <w:rFonts w:ascii="Cambria Math" w:hAnsi="Cambria Math"/>
                      <w:i/>
                      <w:color w:val="FF0000"/>
                    </w:rPr>
                  </m:ctrlPr>
                </m:sSubSupPr>
                <m:e>
                  <m:r>
                    <w:rPr>
                      <w:rFonts w:ascii="Cambria Math" w:hAnsi="Cambria Math"/>
                      <w:color w:val="FF0000"/>
                    </w:rPr>
                    <m:t>N</m:t>
                  </m:r>
                  <m:ctrlPr>
                    <w:rPr>
                      <w:rFonts w:ascii="Cambria Math" w:hAnsi="Cambria Math"/>
                      <w:i/>
                      <w:color w:val="FF0000"/>
                    </w:rPr>
                  </m:ctrlPr>
                </m:e>
                <m:sub>
                  <m:r>
                    <m:rPr>
                      <m:sty m:val="p"/>
                    </m:rPr>
                    <w:rPr>
                      <w:rFonts w:ascii="Cambria Math" w:hAnsi="Cambria Math"/>
                      <w:color w:val="FF0000"/>
                    </w:rPr>
                    <m:t>occasion</m:t>
                  </m:r>
                  <m:ctrlPr>
                    <w:rPr>
                      <w:rFonts w:ascii="Cambria Math" w:hAnsi="Cambria Math"/>
                      <w:i/>
                      <w:color w:val="FF0000"/>
                    </w:rPr>
                  </m:ctrlPr>
                </m:sub>
                <m:sup>
                  <m:r>
                    <m:rPr>
                      <m:sty m:val="p"/>
                    </m:rPr>
                    <w:rPr>
                      <w:rFonts w:ascii="Cambria Math" w:hAnsi="Cambria Math"/>
                      <w:color w:val="FF0000"/>
                    </w:rPr>
                    <m:t>PSFCH</m:t>
                  </m:r>
                  <m:ctrlPr>
                    <w:rPr>
                      <w:rFonts w:ascii="Cambria Math" w:hAnsi="Cambria Math"/>
                      <w:i/>
                      <w:color w:val="FF0000"/>
                    </w:rPr>
                  </m:ctrlPr>
                </m:sup>
              </m:sSubSup>
            </m:oMath>
            <w:r>
              <w:rPr>
                <w:color w:val="FF0000"/>
              </w:rPr>
              <w:t xml:space="preserve"> slots</w:t>
            </w:r>
            <w:r>
              <w:rPr>
                <w:rFonts w:hint="eastAsia" w:ascii="Times" w:hAnsi="Times" w:eastAsia="Batang" w:cs="Times New Roman"/>
                <w:bCs/>
                <w:color w:val="FF0000"/>
                <w:sz w:val="22"/>
                <w:szCs w:val="22"/>
                <w:lang w:val="en-US" w:eastAsia="zh-CN"/>
                <w14:ligatures w14:val="none"/>
              </w:rPr>
              <w:t xml:space="preserve"> only when it detects one PSFCH.</w:t>
            </w:r>
          </w:p>
          <w:p>
            <w:pPr>
              <w:rPr>
                <w:rFonts w:eastAsiaTheme="minorEastAsia"/>
                <w:lang w:val="en-US"/>
              </w:rPr>
            </w:pPr>
            <w:r>
              <w:rPr>
                <w:lang w:val="en-US" w:eastAsia="zh-CN"/>
              </w:rPr>
              <w:t xml:space="preserve">A UE that transmitted SCI format 1-A, indicating one or more reserved resources in a resource pool enabled by </w:t>
            </w:r>
            <w:r>
              <w:rPr>
                <w:i/>
                <w:iCs/>
                <w:lang w:val="en-US" w:eastAsia="zh-CN"/>
              </w:rPr>
              <w:t>sl-I</w:t>
            </w:r>
            <w:r>
              <w:rPr>
                <w:i/>
              </w:rPr>
              <w:t>nterUE-CoordinationScheme2</w:t>
            </w:r>
            <w:r>
              <w:rPr>
                <w:lang w:val="en-US" w:eastAsia="zh-CN"/>
              </w:rPr>
              <w:t xml:space="preserve">, attempts to receive associated PSFCH with conflict information in the resource pool </w:t>
            </w:r>
            <w:r>
              <w:rPr>
                <w:rFonts w:eastAsiaTheme="minorEastAsia"/>
                <w:lang w:val="en-US"/>
              </w:rPr>
              <w:t>with</w:t>
            </w:r>
            <w:r>
              <w:rPr>
                <w:rFonts w:eastAsiaTheme="minorEastAsia"/>
              </w:rPr>
              <w:t xml:space="preserve"> PSFCH resources </w:t>
            </w:r>
            <w:r>
              <w:rPr>
                <w:rFonts w:eastAsiaTheme="minorEastAsia"/>
                <w:lang w:val="en-US"/>
              </w:rPr>
              <w:t xml:space="preserve">that the UE </w:t>
            </w:r>
            <w:r>
              <w:rPr>
                <w:rFonts w:eastAsiaTheme="minorEastAsia"/>
              </w:rPr>
              <w:t>determine</w:t>
            </w:r>
            <w:r>
              <w:rPr>
                <w:rFonts w:eastAsiaTheme="minorEastAsia"/>
                <w:lang w:val="en-US"/>
              </w:rPr>
              <w:t>s</w:t>
            </w:r>
            <w:r>
              <w:rPr>
                <w:rFonts w:eastAsiaTheme="minorEastAsia"/>
              </w:rPr>
              <w:t xml:space="preserve"> as described in clause 16.3.0</w:t>
            </w:r>
            <w:r>
              <w:rPr>
                <w:rFonts w:eastAsiaTheme="minorEastAsia"/>
                <w:lang w:val="en-US"/>
              </w:rPr>
              <w:t>. If the UE determines presence of a resource conflict based on conflict information in a PSFCH reception, the UE reports the resource conflict to higher layers</w:t>
            </w:r>
          </w:p>
          <w:p>
            <w:pPr>
              <w:pStyle w:val="52"/>
              <w:rPr>
                <w:rFonts w:eastAsiaTheme="minorEastAsia"/>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not provided, the UE reports resources overlapping with a next in time reserved resource indicated by the SCI format 1-A</w:t>
            </w:r>
          </w:p>
          <w:p>
            <w:pPr>
              <w:pStyle w:val="52"/>
              <w:rPr>
                <w:rFonts w:eastAsia="Malgun Gothic"/>
                <w:color w:val="000000" w:themeColor="text1"/>
                <w14:textFill>
                  <w14:solidFill>
                    <w14:schemeClr w14:val="tx1"/>
                  </w14:solidFill>
                </w14:textFill>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provided, the UE reports resources in a slot of a next in time reserved resource indicated by the SCI format 1-A</w:t>
            </w:r>
          </w:p>
          <w:p>
            <w:pPr>
              <w:widowControl w:val="0"/>
              <w:jc w:val="center"/>
              <w:rPr>
                <w:rFonts w:eastAsia="Malgun Gothic"/>
                <w:color w:val="000000" w:themeColor="text1"/>
                <w14:textFill>
                  <w14:solidFill>
                    <w14:schemeClr w14:val="tx1"/>
                  </w14:solidFill>
                </w14:textFill>
              </w:rPr>
            </w:pPr>
            <w:r>
              <w:rPr>
                <w:rFonts w:eastAsia="Malgun Gothic"/>
                <w:color w:val="000000" w:themeColor="text1"/>
                <w14:textFill>
                  <w14:solidFill>
                    <w14:schemeClr w14:val="tx1"/>
                  </w14:solidFill>
                </w14:textFill>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eastAsia"/>
          <w:b/>
          <w:bCs/>
          <w:i/>
          <w:iCs/>
          <w:lang w:val="en-US" w:eastAsia="zh-CN"/>
        </w:rPr>
      </w:pPr>
    </w:p>
    <w:p>
      <w:pPr>
        <w:rPr>
          <w:rFonts w:hint="default"/>
          <w:b/>
          <w:bCs/>
          <w:i/>
          <w:iCs/>
          <w:lang w:val="en-US" w:eastAsia="zh-CN"/>
        </w:rPr>
      </w:pPr>
      <w:r>
        <w:rPr>
          <w:rFonts w:hint="eastAsia"/>
          <w:b/>
          <w:bCs/>
          <w:i/>
          <w:iCs/>
          <w:lang w:val="en-US" w:eastAsia="zh-CN"/>
        </w:rPr>
        <w:t>Proposal 7: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widowControl w:val="0"/>
              <w:jc w:val="center"/>
              <w:rPr>
                <w:rFonts w:eastAsia="Malgun Gothic"/>
                <w:color w:val="000000" w:themeColor="text1"/>
                <w14:textFill>
                  <w14:solidFill>
                    <w14:schemeClr w14:val="tx1"/>
                  </w14:solidFill>
                </w14:textFill>
              </w:rPr>
            </w:pPr>
            <w:r>
              <w:rPr>
                <w:sz w:val="20"/>
                <w:szCs w:val="20"/>
              </w:rPr>
              <w:t>……</w:t>
            </w:r>
          </w:p>
          <w:p>
            <w:pPr>
              <w:rPr>
                <w:rFonts w:hint="default" w:eastAsiaTheme="minorEastAsia"/>
                <w:lang w:val="en-US" w:eastAsia="zh-CN"/>
              </w:rPr>
            </w:pPr>
            <w:r>
              <w:rPr>
                <w:color w:val="FF0000"/>
                <w:sz w:val="22"/>
                <w:szCs w:val="22"/>
              </w:rPr>
              <w:t xml:space="preserve">For operation with shared spectrum channel access, </w:t>
            </w:r>
            <w:r>
              <w:rPr>
                <w:rFonts w:hint="eastAsia"/>
                <w:color w:val="FF0000"/>
                <w:lang w:val="en-US" w:eastAsia="zh-CN"/>
              </w:rPr>
              <w:t>a</w:t>
            </w:r>
            <w:r>
              <w:rPr>
                <w:color w:val="FF0000"/>
                <w:lang w:val="en-US" w:eastAsia="zh-CN"/>
              </w:rPr>
              <w:t xml:space="preserve"> UE </w:t>
            </w:r>
            <w:r>
              <w:rPr>
                <w:rFonts w:hint="eastAsia"/>
                <w:color w:val="FF0000"/>
                <w:lang w:val="en-US" w:eastAsia="zh-CN"/>
              </w:rPr>
              <w:t>can</w:t>
            </w:r>
            <w:r>
              <w:rPr>
                <w:color w:val="FF0000"/>
                <w:lang w:val="en-US" w:eastAsia="zh-CN"/>
              </w:rPr>
              <w:t xml:space="preserve"> attempt to receive associated PSFCH with </w:t>
            </w:r>
            <w:r>
              <w:rPr>
                <w:rFonts w:hint="eastAsia"/>
                <w:color w:val="FF0000"/>
                <w:lang w:val="en-US" w:eastAsia="zh-CN"/>
              </w:rPr>
              <w:t>HARQ-ACK information</w:t>
            </w:r>
            <w:r>
              <w:rPr>
                <w:color w:val="FF0000"/>
                <w:lang w:val="en-US" w:eastAsia="zh-CN"/>
              </w:rPr>
              <w:t xml:space="preserve"> in the resource pool </w:t>
            </w:r>
            <w:r>
              <w:rPr>
                <w:rFonts w:eastAsiaTheme="minorEastAsia"/>
                <w:color w:val="FF0000"/>
                <w:lang w:val="en-US"/>
              </w:rPr>
              <w:t>with</w:t>
            </w:r>
            <w:r>
              <w:rPr>
                <w:rFonts w:eastAsiaTheme="minorEastAsia"/>
                <w:color w:val="FF0000"/>
              </w:rPr>
              <w:t xml:space="preserve"> PSFCH resources </w:t>
            </w:r>
            <w:r>
              <w:rPr>
                <w:rFonts w:eastAsiaTheme="minorEastAsia"/>
                <w:color w:val="FF0000"/>
                <w:lang w:val="en-US"/>
              </w:rPr>
              <w:t xml:space="preserve">that the UE </w:t>
            </w:r>
            <w:r>
              <w:rPr>
                <w:rFonts w:eastAsiaTheme="minorEastAsia"/>
                <w:color w:val="FF0000"/>
              </w:rPr>
              <w:t>determine</w:t>
            </w:r>
            <w:r>
              <w:rPr>
                <w:rFonts w:eastAsiaTheme="minorEastAsia"/>
                <w:color w:val="FF0000"/>
                <w:lang w:val="en-US"/>
              </w:rPr>
              <w:t>s</w:t>
            </w:r>
            <w:r>
              <w:rPr>
                <w:rFonts w:eastAsiaTheme="minorEastAsia"/>
                <w:color w:val="FF0000"/>
              </w:rPr>
              <w:t xml:space="preserve"> as described in clause 16.3.0</w:t>
            </w:r>
            <w:r>
              <w:rPr>
                <w:rFonts w:eastAsiaTheme="minorEastAsia"/>
                <w:color w:val="FF0000"/>
                <w:lang w:val="en-US"/>
              </w:rPr>
              <w:t xml:space="preserve">. </w:t>
            </w:r>
            <w:r>
              <w:rPr>
                <w:rFonts w:hint="eastAsia" w:eastAsiaTheme="minorEastAsia"/>
                <w:color w:val="FF0000"/>
                <w:lang w:val="en-US" w:eastAsia="zh-CN"/>
              </w:rPr>
              <w:t xml:space="preserve">The UE can omit </w:t>
            </w:r>
            <w:r>
              <w:rPr>
                <w:rFonts w:ascii="Times" w:hAnsi="Times" w:eastAsia="Batang" w:cs="Times New Roman"/>
                <w:bCs/>
                <w:color w:val="FF0000"/>
                <w:sz w:val="22"/>
                <w:szCs w:val="22"/>
                <w:lang w:val="en-GB" w:eastAsia="zh-CN"/>
                <w14:ligatures w14:val="none"/>
              </w:rPr>
              <w:t xml:space="preserve">monitoring </w:t>
            </w:r>
            <w:r>
              <w:rPr>
                <w:rFonts w:hint="eastAsia" w:ascii="Times" w:hAnsi="Times" w:eastAsia="Batang" w:cs="Times New Roman"/>
                <w:bCs/>
                <w:color w:val="FF0000"/>
                <w:sz w:val="22"/>
                <w:szCs w:val="22"/>
                <w:lang w:val="en-US" w:eastAsia="zh-CN"/>
                <w14:ligatures w14:val="none"/>
              </w:rPr>
              <w:t xml:space="preserve">the </w:t>
            </w:r>
            <w:r>
              <w:rPr>
                <w:rFonts w:ascii="Times" w:hAnsi="Times" w:eastAsia="Batang" w:cs="Times New Roman"/>
                <w:bCs/>
                <w:color w:val="FF0000"/>
                <w:sz w:val="22"/>
                <w:szCs w:val="22"/>
                <w:lang w:val="en-GB" w:eastAsia="zh-CN"/>
                <w14:ligatures w14:val="none"/>
              </w:rPr>
              <w:t>candidate PSFCH occasion(s)</w:t>
            </w:r>
            <w:r>
              <w:rPr>
                <w:rFonts w:hint="eastAsia" w:ascii="Times" w:hAnsi="Times" w:eastAsia="Batang" w:cs="Times New Roman"/>
                <w:bCs/>
                <w:color w:val="FF0000"/>
                <w:sz w:val="22"/>
                <w:szCs w:val="22"/>
                <w:lang w:val="en-US" w:eastAsia="zh-CN"/>
                <w14:ligatures w14:val="none"/>
              </w:rPr>
              <w:t xml:space="preserve"> associated with the PSSCH in all following slots for PSFCH within the </w:t>
            </w:r>
            <m:oMath>
              <m:sSubSup>
                <m:sSubSupPr>
                  <m:ctrlPr>
                    <w:rPr>
                      <w:rFonts w:ascii="Cambria Math" w:hAnsi="Cambria Math"/>
                      <w:i/>
                      <w:color w:val="FF0000"/>
                    </w:rPr>
                  </m:ctrlPr>
                </m:sSubSupPr>
                <m:e>
                  <m:r>
                    <w:rPr>
                      <w:rFonts w:ascii="Cambria Math" w:hAnsi="Cambria Math"/>
                      <w:color w:val="FF0000"/>
                    </w:rPr>
                    <m:t>N</m:t>
                  </m:r>
                  <m:ctrlPr>
                    <w:rPr>
                      <w:rFonts w:ascii="Cambria Math" w:hAnsi="Cambria Math"/>
                      <w:i/>
                      <w:color w:val="FF0000"/>
                    </w:rPr>
                  </m:ctrlPr>
                </m:e>
                <m:sub>
                  <m:r>
                    <m:rPr>
                      <m:sty m:val="p"/>
                    </m:rPr>
                    <w:rPr>
                      <w:rFonts w:ascii="Cambria Math" w:hAnsi="Cambria Math"/>
                      <w:color w:val="FF0000"/>
                    </w:rPr>
                    <m:t>occasion</m:t>
                  </m:r>
                  <m:ctrlPr>
                    <w:rPr>
                      <w:rFonts w:ascii="Cambria Math" w:hAnsi="Cambria Math"/>
                      <w:i/>
                      <w:color w:val="FF0000"/>
                    </w:rPr>
                  </m:ctrlPr>
                </m:sub>
                <m:sup>
                  <m:r>
                    <m:rPr>
                      <m:sty m:val="p"/>
                    </m:rPr>
                    <w:rPr>
                      <w:rFonts w:ascii="Cambria Math" w:hAnsi="Cambria Math"/>
                      <w:color w:val="FF0000"/>
                    </w:rPr>
                    <m:t>PSFCH</m:t>
                  </m:r>
                  <m:ctrlPr>
                    <w:rPr>
                      <w:rFonts w:ascii="Cambria Math" w:hAnsi="Cambria Math"/>
                      <w:i/>
                      <w:color w:val="FF0000"/>
                    </w:rPr>
                  </m:ctrlPr>
                </m:sup>
              </m:sSubSup>
            </m:oMath>
            <w:r>
              <w:rPr>
                <w:color w:val="FF0000"/>
              </w:rPr>
              <w:t xml:space="preserve"> slots</w:t>
            </w:r>
            <w:r>
              <w:rPr>
                <w:rFonts w:hint="eastAsia" w:ascii="Times" w:hAnsi="Times" w:eastAsia="Batang" w:cs="Times New Roman"/>
                <w:bCs/>
                <w:color w:val="FF0000"/>
                <w:sz w:val="22"/>
                <w:szCs w:val="22"/>
                <w:lang w:val="en-US" w:eastAsia="zh-CN"/>
                <w14:ligatures w14:val="none"/>
              </w:rPr>
              <w:t xml:space="preserve"> only when it detects one PSFCH.</w:t>
            </w:r>
          </w:p>
          <w:p>
            <w:pPr>
              <w:rPr>
                <w:rFonts w:eastAsiaTheme="minorEastAsia"/>
                <w:lang w:val="en-US"/>
              </w:rPr>
            </w:pPr>
            <w:r>
              <w:rPr>
                <w:lang w:val="en-US" w:eastAsia="zh-CN"/>
              </w:rPr>
              <w:t xml:space="preserve">A UE that transmitted SCI format 1-A, indicating one or more reserved resources in a resource pool enabled by </w:t>
            </w:r>
            <w:r>
              <w:rPr>
                <w:i/>
                <w:iCs/>
                <w:lang w:val="en-US" w:eastAsia="zh-CN"/>
              </w:rPr>
              <w:t>sl-I</w:t>
            </w:r>
            <w:r>
              <w:rPr>
                <w:i/>
              </w:rPr>
              <w:t>nterUE-CoordinationScheme2</w:t>
            </w:r>
            <w:r>
              <w:rPr>
                <w:lang w:val="en-US" w:eastAsia="zh-CN"/>
              </w:rPr>
              <w:t xml:space="preserve">, attempts to receive associated PSFCH with conflict information in the resource pool </w:t>
            </w:r>
            <w:r>
              <w:rPr>
                <w:rFonts w:eastAsiaTheme="minorEastAsia"/>
                <w:lang w:val="en-US"/>
              </w:rPr>
              <w:t>with</w:t>
            </w:r>
            <w:r>
              <w:rPr>
                <w:rFonts w:eastAsiaTheme="minorEastAsia"/>
              </w:rPr>
              <w:t xml:space="preserve"> PSFCH resources </w:t>
            </w:r>
            <w:r>
              <w:rPr>
                <w:rFonts w:eastAsiaTheme="minorEastAsia"/>
                <w:lang w:val="en-US"/>
              </w:rPr>
              <w:t xml:space="preserve">that the UE </w:t>
            </w:r>
            <w:r>
              <w:rPr>
                <w:rFonts w:eastAsiaTheme="minorEastAsia"/>
              </w:rPr>
              <w:t>determine</w:t>
            </w:r>
            <w:r>
              <w:rPr>
                <w:rFonts w:eastAsiaTheme="minorEastAsia"/>
                <w:lang w:val="en-US"/>
              </w:rPr>
              <w:t>s</w:t>
            </w:r>
            <w:r>
              <w:rPr>
                <w:rFonts w:eastAsiaTheme="minorEastAsia"/>
              </w:rPr>
              <w:t xml:space="preserve"> as described in clause 16.3.0</w:t>
            </w:r>
            <w:r>
              <w:rPr>
                <w:rFonts w:eastAsiaTheme="minorEastAsia"/>
                <w:lang w:val="en-US"/>
              </w:rPr>
              <w:t>. If the UE determines presence of a resource conflict based on conflict information in a PSFCH reception, the UE reports the resource conflict to higher layers</w:t>
            </w:r>
          </w:p>
          <w:p>
            <w:pPr>
              <w:pStyle w:val="52"/>
              <w:rPr>
                <w:rFonts w:eastAsiaTheme="minorEastAsia"/>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not provided, the UE reports resources overlapping with a next in time reserved resource indicated by the SCI format 1-A</w:t>
            </w:r>
          </w:p>
          <w:p>
            <w:pPr>
              <w:pStyle w:val="52"/>
              <w:rPr>
                <w:rFonts w:eastAsia="Malgun Gothic"/>
                <w:color w:val="000000" w:themeColor="text1"/>
                <w14:textFill>
                  <w14:solidFill>
                    <w14:schemeClr w14:val="tx1"/>
                  </w14:solidFill>
                </w14:textFill>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provided, the UE reports resources in a slot of a next in time reserved resource indicated by the SCI format 1-A</w:t>
            </w:r>
          </w:p>
          <w:p>
            <w:pPr>
              <w:widowControl w:val="0"/>
              <w:jc w:val="center"/>
              <w:rPr>
                <w:rFonts w:eastAsia="Malgun Gothic"/>
                <w:color w:val="000000" w:themeColor="text1"/>
                <w14:textFill>
                  <w14:solidFill>
                    <w14:schemeClr w14:val="tx1"/>
                  </w14:solidFill>
                </w14:textFill>
              </w:rPr>
            </w:pPr>
            <w:r>
              <w:rPr>
                <w:rFonts w:eastAsia="Malgun Gothic"/>
                <w:color w:val="000000" w:themeColor="text1"/>
                <w14:textFill>
                  <w14:solidFill>
                    <w14:schemeClr w14:val="tx1"/>
                  </w14:solidFill>
                </w14:textFill>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eastAsia"/>
          <w:b/>
          <w:bCs/>
          <w:i/>
          <w:iCs/>
          <w:lang w:val="en-US" w:eastAsia="zh-CN"/>
        </w:rPr>
      </w:pP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5" w:name="OLE_LINK6"/>
      <w:bookmarkStart w:id="16" w:name="OLE_LINK40"/>
      <w:bookmarkStart w:id="17" w:name="OLE_LINK39"/>
      <w:bookmarkStart w:id="18" w:name="OLE_LINK4"/>
      <w:bookmarkStart w:id="19" w:name="OLE_LINK3"/>
      <w:bookmarkStart w:id="20"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Proposal 1: The transmitting UE can only choose the first starting symbol of the slot to transmit the PSCCH when the slot is within the remaining slots of the COT.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w:t>
      </w:r>
      <w:r>
        <w:rPr>
          <w:rFonts w:hint="eastAsia"/>
          <w:b/>
          <w:bCs w:val="0"/>
          <w:i/>
          <w:iCs w:val="0"/>
          <w:strike w:val="0"/>
          <w:dstrike w:val="0"/>
          <w:szCs w:val="20"/>
          <w:lang w:val="en-US" w:eastAsia="zh-CN"/>
        </w:rPr>
        <w:t>2</w:t>
      </w:r>
      <w:r>
        <w:rPr>
          <w:rFonts w:hint="eastAsia" w:eastAsia="宋体"/>
          <w:b/>
          <w:bCs w:val="0"/>
          <w:i/>
          <w:iCs w:val="0"/>
          <w:strike w:val="0"/>
          <w:dstrike w:val="0"/>
          <w:szCs w:val="20"/>
          <w:lang w:val="en-US" w:eastAsia="zh-CN"/>
        </w:rPr>
        <w:t xml:space="preserve">: </w:t>
      </w:r>
    </w:p>
    <w:p>
      <w:pPr>
        <w:numPr>
          <w:ilvl w:val="0"/>
          <w:numId w:val="12"/>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The receiving UE shall monitor PSCCH on both </w:t>
      </w:r>
      <w:r>
        <w:rPr>
          <w:rFonts w:hint="eastAsia"/>
          <w:b/>
          <w:bCs w:val="0"/>
          <w:i/>
          <w:iCs w:val="0"/>
          <w:strike w:val="0"/>
          <w:dstrike w:val="0"/>
          <w:szCs w:val="20"/>
          <w:lang w:val="en-US" w:eastAsia="zh-CN"/>
        </w:rPr>
        <w:t xml:space="preserve">the first and second </w:t>
      </w:r>
      <w:r>
        <w:rPr>
          <w:rFonts w:hint="eastAsia" w:eastAsia="宋体"/>
          <w:b/>
          <w:bCs w:val="0"/>
          <w:i/>
          <w:iCs w:val="0"/>
          <w:strike w:val="0"/>
          <w:dstrike w:val="0"/>
          <w:szCs w:val="20"/>
          <w:lang w:val="en-US" w:eastAsia="zh-CN"/>
        </w:rPr>
        <w:t>starting symbols of the slot, if the slot is out of the COT or at the beginning of the COT.</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p>
    <w:p>
      <w:pPr>
        <w:rPr>
          <w:rFonts w:hint="default"/>
          <w:b/>
          <w:bCs/>
          <w:i/>
          <w:iCs/>
          <w:lang w:val="en-US" w:eastAsia="zh-CN"/>
        </w:rPr>
      </w:pPr>
      <w:r>
        <w:rPr>
          <w:rFonts w:hint="eastAsia"/>
          <w:b/>
          <w:bCs/>
          <w:i/>
          <w:iCs/>
          <w:lang w:val="en-US" w:eastAsia="zh-CN"/>
        </w:rPr>
        <w:t>Proposal 3: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ascii="Arial" w:hAnsi="Arial" w:eastAsia="宋体" w:cs="Times New Roman"/>
                <w:sz w:val="32"/>
                <w:lang w:val="en-GB" w:eastAsia="en-US" w:bidi="ar-SA"/>
              </w:rPr>
              <w:t xml:space="preserve">UE procedure for transmitting PSCCH </w:t>
            </w:r>
          </w:p>
          <w:p>
            <w:pPr>
              <w:autoSpaceDE/>
              <w:autoSpaceDN/>
              <w:adjustRightInd/>
              <w:snapToGrid/>
              <w:spacing w:after="180"/>
              <w:jc w:val="left"/>
              <w:rPr>
                <w:rFonts w:hint="eastAsia" w:ascii="Times New Roman" w:hAnsi="Times New Roman" w:eastAsia="宋体" w:cs="Times New Roman"/>
                <w:sz w:val="22"/>
                <w:szCs w:val="22"/>
                <w:lang w:val="en-US" w:eastAsia="zh-CN"/>
              </w:rPr>
            </w:pPr>
            <w:r>
              <w:rPr>
                <w:rFonts w:ascii="Times New Roman" w:hAnsi="Times New Roman" w:eastAsia="宋体" w:cs="Times New Roman"/>
                <w:sz w:val="22"/>
                <w:szCs w:val="22"/>
                <w:lang w:val="en-GB" w:eastAsia="ja-JP"/>
              </w:rPr>
              <w:t xml:space="preserve">A UE can be provided a number of symbols in a resource pool, by </w:t>
            </w:r>
            <w:r>
              <w:rPr>
                <w:rFonts w:ascii="Times New Roman" w:hAnsi="Times New Roman" w:eastAsia="宋体" w:cs="Times New Roman"/>
                <w:i/>
                <w:iCs/>
                <w:sz w:val="22"/>
                <w:szCs w:val="22"/>
                <w:lang w:val="en-GB" w:eastAsia="ja-JP"/>
              </w:rPr>
              <w:t>sl-</w:t>
            </w:r>
            <w:r>
              <w:rPr>
                <w:rFonts w:ascii="Times New Roman" w:hAnsi="Times New Roman" w:eastAsia="宋体" w:cs="Times New Roman"/>
                <w:i/>
                <w:sz w:val="22"/>
                <w:szCs w:val="22"/>
                <w:lang w:val="en-US"/>
              </w:rPr>
              <w:t>TimeResourcePSCCH</w:t>
            </w:r>
            <w:r>
              <w:rPr>
                <w:rFonts w:ascii="Times New Roman" w:hAnsi="Times New Roman" w:eastAsia="宋体" w:cs="Times New Roman"/>
                <w:sz w:val="22"/>
                <w:szCs w:val="22"/>
                <w:lang w:val="en-US"/>
              </w:rPr>
              <w:t xml:space="preserve">, starting from a second symbol that is available for </w:t>
            </w:r>
            <w:r>
              <w:rPr>
                <w:rFonts w:ascii="Times New Roman" w:hAnsi="Times New Roman" w:eastAsia="宋体" w:cs="Times New Roman"/>
                <w:sz w:val="22"/>
                <w:szCs w:val="22"/>
                <w:lang w:val="en-US" w:eastAsia="ko-KR"/>
              </w:rPr>
              <w:t xml:space="preserve">SL transmissions </w:t>
            </w:r>
            <w:r>
              <w:rPr>
                <w:rFonts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autoSpaceDE/>
              <w:autoSpaceDN/>
              <w:adjustRightInd/>
              <w:snapToGrid/>
              <w:spacing w:after="180"/>
              <w:jc w:val="left"/>
              <w:rPr>
                <w:sz w:val="20"/>
                <w:szCs w:val="20"/>
              </w:rPr>
            </w:pPr>
            <w:r>
              <w:rPr>
                <w:rFonts w:ascii="Times New Roman" w:hAnsi="Times New Roman" w:eastAsia="宋体" w:cs="Times New Roman"/>
                <w:color w:val="FF0000"/>
                <w:sz w:val="22"/>
                <w:szCs w:val="22"/>
                <w:lang w:val="en-GB" w:eastAsia="ja-JP"/>
              </w:rPr>
              <w:t>A UE can be provided</w:t>
            </w:r>
            <w:r>
              <w:rPr>
                <w:rFonts w:ascii="Times New Roman" w:hAnsi="Times New Roman" w:eastAsia="宋体" w:cs="Times New Roman"/>
                <w:sz w:val="22"/>
                <w:szCs w:val="22"/>
                <w:lang w:val="en-US"/>
              </w:rPr>
              <w:t xml:space="preserve"> a number of PRBs in the resource pool, by </w:t>
            </w:r>
            <w:r>
              <w:rPr>
                <w:rFonts w:ascii="Times New Roman" w:hAnsi="Times New Roman" w:eastAsia="宋体" w:cs="Times New Roman"/>
                <w:i/>
                <w:iCs/>
                <w:sz w:val="22"/>
                <w:szCs w:val="22"/>
                <w:lang w:val="en-US"/>
              </w:rPr>
              <w:t>sl-</w:t>
            </w:r>
            <w:r>
              <w:rPr>
                <w:rFonts w:ascii="Times New Roman" w:hAnsi="Times New Roman" w:eastAsia="宋体" w:cs="Times New Roman"/>
                <w:i/>
                <w:sz w:val="22"/>
                <w:szCs w:val="22"/>
                <w:lang w:val="en-US"/>
              </w:rPr>
              <w:t>FreqResourcePSCCH</w:t>
            </w:r>
            <w:r>
              <w:rPr>
                <w:rFonts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ascii="Times New Roman" w:hAnsi="Times New Roman" w:eastAsia="宋体" w:cs="Times New Roman"/>
                <w:sz w:val="22"/>
                <w:szCs w:val="22"/>
                <w:lang w:val="en-GB"/>
              </w:rPr>
              <w:t xml:space="preserve">For operation with shared spectrum channel access, </w:t>
            </w:r>
          </w:p>
          <w:p>
            <w:pPr>
              <w:widowControl w:val="0"/>
              <w:jc w:val="center"/>
              <w:rPr>
                <w:rFonts w:eastAsia="Malgun Gothic"/>
                <w:color w:val="000000" w:themeColor="text1"/>
                <w14:textFill>
                  <w14:solidFill>
                    <w14:schemeClr w14:val="tx1"/>
                  </w14:solidFill>
                </w14:textFill>
              </w:rPr>
            </w:pPr>
            <w:r>
              <w:rPr>
                <w:sz w:val="20"/>
                <w:szCs w:val="20"/>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default"/>
          <w:b w:val="0"/>
          <w:bCs/>
          <w:i w:val="0"/>
          <w:iCs/>
          <w:strike w:val="0"/>
          <w:dstrike w:val="0"/>
          <w:szCs w:val="20"/>
          <w:lang w:val="en-US" w:eastAsia="zh-CN"/>
        </w:rPr>
      </w:pPr>
    </w:p>
    <w:p>
      <w:pPr>
        <w:rPr>
          <w:rFonts w:hint="eastAsia"/>
          <w:b/>
          <w:bCs/>
          <w:i/>
          <w:iCs/>
          <w:lang w:val="en-US" w:eastAsia="zh-CN"/>
        </w:rPr>
      </w:pPr>
      <w:r>
        <w:rPr>
          <w:rFonts w:hint="eastAsia"/>
          <w:b/>
          <w:bCs/>
          <w:i/>
          <w:iCs/>
          <w:lang w:val="en-US" w:eastAsia="zh-CN"/>
        </w:rPr>
        <w:t xml:space="preserve">Proposal 4：PSFCH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5:  The resources of candidate PSFCH occasions indicated as unavailable can be used for PSSCH transmission.</w:t>
      </w:r>
    </w:p>
    <w:p>
      <w:pPr>
        <w:rPr>
          <w:rFonts w:hint="eastAsia"/>
          <w:b/>
          <w:bCs/>
          <w:i/>
          <w:iCs/>
          <w:lang w:val="en-US" w:eastAsia="zh-CN"/>
        </w:rPr>
      </w:pPr>
      <w:r>
        <w:rPr>
          <w:rFonts w:hint="eastAsia"/>
          <w:b/>
          <w:bCs/>
          <w:i/>
          <w:iCs/>
          <w:lang w:val="en-US" w:eastAsia="zh-CN"/>
        </w:rPr>
        <w:t xml:space="preserve">Proposal 6: </w:t>
      </w:r>
      <w:r>
        <w:rPr>
          <w:rFonts w:ascii="Times" w:hAnsi="Times" w:eastAsia="Batang" w:cs="Times New Roman"/>
          <w:b/>
          <w:bCs w:val="0"/>
          <w:i/>
          <w:iCs/>
          <w:sz w:val="22"/>
          <w:szCs w:val="22"/>
          <w:lang w:val="en-GB" w:eastAsia="zh-CN"/>
          <w14:ligatures w14:val="none"/>
        </w:rPr>
        <w:t>N bitmaps</w:t>
      </w:r>
      <w:r>
        <w:rPr>
          <w:rFonts w:hint="eastAsia" w:ascii="Times" w:hAnsi="Times" w:eastAsia="Batang" w:cs="Times New Roman"/>
          <w:b/>
          <w:bCs w:val="0"/>
          <w:i/>
          <w:iCs/>
          <w:sz w:val="22"/>
          <w:szCs w:val="22"/>
          <w:lang w:val="en-US" w:eastAsia="zh-CN"/>
          <w14:ligatures w14:val="none"/>
        </w:rPr>
        <w:t xml:space="preserve"> are used</w:t>
      </w:r>
      <w:r>
        <w:rPr>
          <w:rFonts w:ascii="Times" w:hAnsi="Times" w:eastAsia="Batang" w:cs="Times New Roman"/>
          <w:b/>
          <w:bCs w:val="0"/>
          <w:i/>
          <w:iCs/>
          <w:sz w:val="22"/>
          <w:szCs w:val="22"/>
          <w:lang w:val="en-GB" w:eastAsia="zh-CN"/>
          <w14:ligatures w14:val="none"/>
        </w:rPr>
        <w:t xml:space="preserve"> to indicate resource for N candidate PSFCH occasion(s), respectively</w:t>
      </w:r>
      <w:r>
        <w:rPr>
          <w:rFonts w:hint="eastAsia"/>
          <w:b/>
          <w:bCs w:val="0"/>
          <w:i/>
          <w:iCs/>
          <w:lang w:val="en-US" w:eastAsia="zh-CN"/>
        </w:rPr>
        <w:t>.</w:t>
      </w:r>
    </w:p>
    <w:p>
      <w:pPr>
        <w:rPr>
          <w:rFonts w:hint="default"/>
          <w:b/>
          <w:bCs/>
          <w:i/>
          <w:iCs/>
          <w:lang w:val="en-US" w:eastAsia="zh-CN"/>
        </w:rPr>
      </w:pPr>
      <w:r>
        <w:rPr>
          <w:rFonts w:hint="eastAsia"/>
          <w:b/>
          <w:bCs/>
          <w:i/>
          <w:iCs/>
          <w:lang w:val="en-US" w:eastAsia="zh-CN"/>
        </w:rPr>
        <w:t>Proposal 7: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pacing w:before="120" w:beforeLines="50"/>
              <w:jc w:val="center"/>
              <w:rPr>
                <w:rFonts w:hint="default"/>
                <w:sz w:val="20"/>
                <w:szCs w:val="20"/>
                <w:lang w:val="en-US" w:eastAsia="zh-CN"/>
              </w:rPr>
            </w:pPr>
            <w:r>
              <w:rPr>
                <w:rFonts w:eastAsia="等线"/>
                <w:kern w:val="2"/>
                <w:lang w:eastAsia="zh-CN"/>
              </w:rPr>
              <w:t>=====Start of Draft TP=====</w:t>
            </w:r>
          </w:p>
          <w:p>
            <w:pPr>
              <w:widowControl w:val="0"/>
              <w:jc w:val="center"/>
              <w:rPr>
                <w:rFonts w:eastAsia="Malgun Gothic"/>
                <w:color w:val="000000" w:themeColor="text1"/>
                <w14:textFill>
                  <w14:solidFill>
                    <w14:schemeClr w14:val="tx1"/>
                  </w14:solidFill>
                </w14:textFill>
              </w:rPr>
            </w:pPr>
            <w:r>
              <w:rPr>
                <w:sz w:val="20"/>
                <w:szCs w:val="20"/>
              </w:rPr>
              <w:t>……</w:t>
            </w:r>
          </w:p>
          <w:p>
            <w:pPr>
              <w:rPr>
                <w:rFonts w:hint="default" w:eastAsiaTheme="minorEastAsia"/>
                <w:lang w:val="en-US" w:eastAsia="zh-CN"/>
              </w:rPr>
            </w:pPr>
            <w:r>
              <w:rPr>
                <w:color w:val="FF0000"/>
                <w:sz w:val="22"/>
                <w:szCs w:val="22"/>
              </w:rPr>
              <w:t xml:space="preserve">For operation with shared spectrum channel access, </w:t>
            </w:r>
            <w:r>
              <w:rPr>
                <w:rFonts w:hint="eastAsia"/>
                <w:color w:val="FF0000"/>
                <w:lang w:val="en-US" w:eastAsia="zh-CN"/>
              </w:rPr>
              <w:t>a</w:t>
            </w:r>
            <w:r>
              <w:rPr>
                <w:color w:val="FF0000"/>
                <w:lang w:val="en-US" w:eastAsia="zh-CN"/>
              </w:rPr>
              <w:t xml:space="preserve"> UE </w:t>
            </w:r>
            <w:r>
              <w:rPr>
                <w:rFonts w:hint="eastAsia"/>
                <w:color w:val="FF0000"/>
                <w:lang w:val="en-US" w:eastAsia="zh-CN"/>
              </w:rPr>
              <w:t>can</w:t>
            </w:r>
            <w:r>
              <w:rPr>
                <w:color w:val="FF0000"/>
                <w:lang w:val="en-US" w:eastAsia="zh-CN"/>
              </w:rPr>
              <w:t xml:space="preserve"> attempt to receive associated PSFCH with </w:t>
            </w:r>
            <w:r>
              <w:rPr>
                <w:rFonts w:hint="eastAsia"/>
                <w:color w:val="FF0000"/>
                <w:lang w:val="en-US" w:eastAsia="zh-CN"/>
              </w:rPr>
              <w:t>HARQ-ACK information</w:t>
            </w:r>
            <w:r>
              <w:rPr>
                <w:color w:val="FF0000"/>
                <w:lang w:val="en-US" w:eastAsia="zh-CN"/>
              </w:rPr>
              <w:t xml:space="preserve"> in the resource pool </w:t>
            </w:r>
            <w:r>
              <w:rPr>
                <w:rFonts w:eastAsiaTheme="minorEastAsia"/>
                <w:color w:val="FF0000"/>
                <w:lang w:val="en-US"/>
              </w:rPr>
              <w:t>with</w:t>
            </w:r>
            <w:r>
              <w:rPr>
                <w:rFonts w:eastAsiaTheme="minorEastAsia"/>
                <w:color w:val="FF0000"/>
              </w:rPr>
              <w:t xml:space="preserve"> PSFCH resources </w:t>
            </w:r>
            <w:r>
              <w:rPr>
                <w:rFonts w:eastAsiaTheme="minorEastAsia"/>
                <w:color w:val="FF0000"/>
                <w:lang w:val="en-US"/>
              </w:rPr>
              <w:t xml:space="preserve">that the UE </w:t>
            </w:r>
            <w:r>
              <w:rPr>
                <w:rFonts w:eastAsiaTheme="minorEastAsia"/>
                <w:color w:val="FF0000"/>
              </w:rPr>
              <w:t>determine</w:t>
            </w:r>
            <w:r>
              <w:rPr>
                <w:rFonts w:eastAsiaTheme="minorEastAsia"/>
                <w:color w:val="FF0000"/>
                <w:lang w:val="en-US"/>
              </w:rPr>
              <w:t>s</w:t>
            </w:r>
            <w:r>
              <w:rPr>
                <w:rFonts w:eastAsiaTheme="minorEastAsia"/>
                <w:color w:val="FF0000"/>
              </w:rPr>
              <w:t xml:space="preserve"> as described in clause 16.3.0</w:t>
            </w:r>
            <w:r>
              <w:rPr>
                <w:rFonts w:eastAsiaTheme="minorEastAsia"/>
                <w:color w:val="FF0000"/>
                <w:lang w:val="en-US"/>
              </w:rPr>
              <w:t xml:space="preserve">. </w:t>
            </w:r>
            <w:r>
              <w:rPr>
                <w:rFonts w:hint="eastAsia" w:eastAsiaTheme="minorEastAsia"/>
                <w:color w:val="FF0000"/>
                <w:lang w:val="en-US" w:eastAsia="zh-CN"/>
              </w:rPr>
              <w:t xml:space="preserve">The UE can omit </w:t>
            </w:r>
            <w:r>
              <w:rPr>
                <w:rFonts w:ascii="Times" w:hAnsi="Times" w:eastAsia="Batang" w:cs="Times New Roman"/>
                <w:bCs/>
                <w:color w:val="FF0000"/>
                <w:sz w:val="22"/>
                <w:szCs w:val="22"/>
                <w:lang w:val="en-GB" w:eastAsia="zh-CN"/>
                <w14:ligatures w14:val="none"/>
              </w:rPr>
              <w:t xml:space="preserve">monitoring </w:t>
            </w:r>
            <w:r>
              <w:rPr>
                <w:rFonts w:hint="eastAsia" w:ascii="Times" w:hAnsi="Times" w:eastAsia="Batang" w:cs="Times New Roman"/>
                <w:bCs/>
                <w:color w:val="FF0000"/>
                <w:sz w:val="22"/>
                <w:szCs w:val="22"/>
                <w:lang w:val="en-US" w:eastAsia="zh-CN"/>
                <w14:ligatures w14:val="none"/>
              </w:rPr>
              <w:t xml:space="preserve">the </w:t>
            </w:r>
            <w:r>
              <w:rPr>
                <w:rFonts w:ascii="Times" w:hAnsi="Times" w:eastAsia="Batang" w:cs="Times New Roman"/>
                <w:bCs/>
                <w:color w:val="FF0000"/>
                <w:sz w:val="22"/>
                <w:szCs w:val="22"/>
                <w:lang w:val="en-GB" w:eastAsia="zh-CN"/>
                <w14:ligatures w14:val="none"/>
              </w:rPr>
              <w:t>candidate PSFCH occasion(s)</w:t>
            </w:r>
            <w:r>
              <w:rPr>
                <w:rFonts w:hint="eastAsia" w:ascii="Times" w:hAnsi="Times" w:eastAsia="Batang" w:cs="Times New Roman"/>
                <w:bCs/>
                <w:color w:val="FF0000"/>
                <w:sz w:val="22"/>
                <w:szCs w:val="22"/>
                <w:lang w:val="en-US" w:eastAsia="zh-CN"/>
                <w14:ligatures w14:val="none"/>
              </w:rPr>
              <w:t xml:space="preserve"> associated with the PSSCH in all following slots for PSFCH within the </w:t>
            </w:r>
            <m:oMath>
              <m:sSubSup>
                <m:sSubSupPr>
                  <m:ctrlPr>
                    <w:rPr>
                      <w:rFonts w:ascii="Cambria Math" w:hAnsi="Cambria Math"/>
                      <w:i/>
                      <w:color w:val="FF0000"/>
                    </w:rPr>
                  </m:ctrlPr>
                </m:sSubSupPr>
                <m:e>
                  <m:r>
                    <w:rPr>
                      <w:rFonts w:ascii="Cambria Math" w:hAnsi="Cambria Math"/>
                      <w:color w:val="FF0000"/>
                    </w:rPr>
                    <m:t>N</m:t>
                  </m:r>
                  <m:ctrlPr>
                    <w:rPr>
                      <w:rFonts w:ascii="Cambria Math" w:hAnsi="Cambria Math"/>
                      <w:i/>
                      <w:color w:val="FF0000"/>
                    </w:rPr>
                  </m:ctrlPr>
                </m:e>
                <m:sub>
                  <m:r>
                    <m:rPr>
                      <m:sty m:val="p"/>
                    </m:rPr>
                    <w:rPr>
                      <w:rFonts w:ascii="Cambria Math" w:hAnsi="Cambria Math"/>
                      <w:color w:val="FF0000"/>
                    </w:rPr>
                    <m:t>occasion</m:t>
                  </m:r>
                  <m:ctrlPr>
                    <w:rPr>
                      <w:rFonts w:ascii="Cambria Math" w:hAnsi="Cambria Math"/>
                      <w:i/>
                      <w:color w:val="FF0000"/>
                    </w:rPr>
                  </m:ctrlPr>
                </m:sub>
                <m:sup>
                  <m:r>
                    <m:rPr>
                      <m:sty m:val="p"/>
                    </m:rPr>
                    <w:rPr>
                      <w:rFonts w:ascii="Cambria Math" w:hAnsi="Cambria Math"/>
                      <w:color w:val="FF0000"/>
                    </w:rPr>
                    <m:t>PSFCH</m:t>
                  </m:r>
                  <m:ctrlPr>
                    <w:rPr>
                      <w:rFonts w:ascii="Cambria Math" w:hAnsi="Cambria Math"/>
                      <w:i/>
                      <w:color w:val="FF0000"/>
                    </w:rPr>
                  </m:ctrlPr>
                </m:sup>
              </m:sSubSup>
            </m:oMath>
            <w:r>
              <w:rPr>
                <w:color w:val="FF0000"/>
              </w:rPr>
              <w:t xml:space="preserve"> slots</w:t>
            </w:r>
            <w:r>
              <w:rPr>
                <w:rFonts w:hint="eastAsia" w:ascii="Times" w:hAnsi="Times" w:eastAsia="Batang" w:cs="Times New Roman"/>
                <w:bCs/>
                <w:color w:val="FF0000"/>
                <w:sz w:val="22"/>
                <w:szCs w:val="22"/>
                <w:lang w:val="en-US" w:eastAsia="zh-CN"/>
                <w14:ligatures w14:val="none"/>
              </w:rPr>
              <w:t xml:space="preserve"> only when it detects one PSFCH.</w:t>
            </w:r>
          </w:p>
          <w:p>
            <w:pPr>
              <w:rPr>
                <w:rFonts w:eastAsiaTheme="minorEastAsia"/>
                <w:lang w:val="en-US"/>
              </w:rPr>
            </w:pPr>
            <w:r>
              <w:rPr>
                <w:lang w:val="en-US" w:eastAsia="zh-CN"/>
              </w:rPr>
              <w:t xml:space="preserve">A UE that transmitted SCI format 1-A, indicating one or more reserved resources in a resource pool enabled by </w:t>
            </w:r>
            <w:r>
              <w:rPr>
                <w:i/>
                <w:iCs/>
                <w:lang w:val="en-US" w:eastAsia="zh-CN"/>
              </w:rPr>
              <w:t>sl-I</w:t>
            </w:r>
            <w:r>
              <w:rPr>
                <w:i/>
              </w:rPr>
              <w:t>nterUE-CoordinationScheme2</w:t>
            </w:r>
            <w:r>
              <w:rPr>
                <w:lang w:val="en-US" w:eastAsia="zh-CN"/>
              </w:rPr>
              <w:t xml:space="preserve">, attempts to receive associated PSFCH with conflict information in the resource pool </w:t>
            </w:r>
            <w:r>
              <w:rPr>
                <w:rFonts w:eastAsiaTheme="minorEastAsia"/>
                <w:lang w:val="en-US"/>
              </w:rPr>
              <w:t>with</w:t>
            </w:r>
            <w:r>
              <w:rPr>
                <w:rFonts w:eastAsiaTheme="minorEastAsia"/>
              </w:rPr>
              <w:t xml:space="preserve"> PSFCH resources </w:t>
            </w:r>
            <w:r>
              <w:rPr>
                <w:rFonts w:eastAsiaTheme="minorEastAsia"/>
                <w:lang w:val="en-US"/>
              </w:rPr>
              <w:t xml:space="preserve">that the UE </w:t>
            </w:r>
            <w:r>
              <w:rPr>
                <w:rFonts w:eastAsiaTheme="minorEastAsia"/>
              </w:rPr>
              <w:t>determine</w:t>
            </w:r>
            <w:r>
              <w:rPr>
                <w:rFonts w:eastAsiaTheme="minorEastAsia"/>
                <w:lang w:val="en-US"/>
              </w:rPr>
              <w:t>s</w:t>
            </w:r>
            <w:r>
              <w:rPr>
                <w:rFonts w:eastAsiaTheme="minorEastAsia"/>
              </w:rPr>
              <w:t xml:space="preserve"> as described in clause 16.3.0</w:t>
            </w:r>
            <w:r>
              <w:rPr>
                <w:rFonts w:eastAsiaTheme="minorEastAsia"/>
                <w:lang w:val="en-US"/>
              </w:rPr>
              <w:t>. If the UE determines presence of a resource conflict based on conflict information in a PSFCH reception, the UE reports the resource conflict to higher layers</w:t>
            </w:r>
          </w:p>
          <w:p>
            <w:pPr>
              <w:pStyle w:val="52"/>
              <w:rPr>
                <w:rFonts w:eastAsiaTheme="minorEastAsia"/>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not provided, the UE reports resources overlapping with a next in time reserved resource indicated by the SCI format 1-A</w:t>
            </w:r>
          </w:p>
          <w:p>
            <w:pPr>
              <w:pStyle w:val="52"/>
              <w:rPr>
                <w:rFonts w:eastAsia="Malgun Gothic"/>
                <w:color w:val="000000" w:themeColor="text1"/>
                <w14:textFill>
                  <w14:solidFill>
                    <w14:schemeClr w14:val="tx1"/>
                  </w14:solidFill>
                </w14:textFill>
              </w:rPr>
            </w:pPr>
            <w:r>
              <w:rPr>
                <w:rFonts w:eastAsiaTheme="minorEastAsia"/>
                <w:bCs/>
                <w:kern w:val="32"/>
                <w:lang w:eastAsia="zh-CN"/>
              </w:rPr>
              <w:t>-</w:t>
            </w:r>
            <w:r>
              <w:rPr>
                <w:rFonts w:eastAsiaTheme="minorEastAsia"/>
                <w:bCs/>
                <w:kern w:val="32"/>
                <w:lang w:eastAsia="zh-CN"/>
              </w:rPr>
              <w:tab/>
            </w:r>
            <w:r>
              <w:rPr>
                <w:rFonts w:eastAsiaTheme="minorEastAsia"/>
                <w:bCs/>
                <w:kern w:val="32"/>
                <w:lang w:eastAsia="zh-CN"/>
              </w:rPr>
              <w:t>if</w:t>
            </w:r>
            <w:r>
              <w:t xml:space="preserve"> </w:t>
            </w:r>
            <w:r>
              <w:rPr>
                <w:i/>
                <w:iCs/>
                <w:lang w:val="en-US" w:eastAsia="zh-CN"/>
              </w:rPr>
              <w:t>sl-S</w:t>
            </w:r>
            <w:r>
              <w:rPr>
                <w:rFonts w:eastAsiaTheme="minorEastAsia"/>
                <w:i/>
                <w:lang w:val="en-US"/>
              </w:rPr>
              <w:t>lotLevelResourceExclusion</w:t>
            </w:r>
            <w:r>
              <w:rPr>
                <w:lang w:val="en-US" w:eastAsia="zh-CN"/>
              </w:rPr>
              <w:t xml:space="preserve"> is provided, the UE reports resources in a slot of a next in time reserved resource indicated by the SCI format 1-A</w:t>
            </w:r>
          </w:p>
          <w:p>
            <w:pPr>
              <w:widowControl w:val="0"/>
              <w:jc w:val="center"/>
              <w:rPr>
                <w:rFonts w:eastAsia="Malgun Gothic"/>
                <w:color w:val="000000" w:themeColor="text1"/>
                <w14:textFill>
                  <w14:solidFill>
                    <w14:schemeClr w14:val="tx1"/>
                  </w14:solidFill>
                </w14:textFill>
              </w:rPr>
            </w:pPr>
            <w:r>
              <w:rPr>
                <w:rFonts w:eastAsia="Malgun Gothic"/>
                <w:color w:val="000000" w:themeColor="text1"/>
                <w14:textFill>
                  <w14:solidFill>
                    <w14:schemeClr w14:val="tx1"/>
                  </w14:solidFill>
                </w14:textFill>
              </w:rPr>
              <w:t>…….</w:t>
            </w:r>
          </w:p>
          <w:p>
            <w:pPr>
              <w:widowControl w:val="0"/>
              <w:jc w:val="center"/>
              <w:rPr>
                <w:rFonts w:hint="eastAsia" w:eastAsia="Malgun Gothic"/>
                <w:color w:val="000000" w:themeColor="text1"/>
                <w:lang w:val="en-US" w:eastAsia="zh-CN"/>
                <w14:textFill>
                  <w14:solidFill>
                    <w14:schemeClr w14:val="tx1"/>
                  </w14:solidFill>
                </w14:textFill>
              </w:rPr>
            </w:pPr>
            <w:r>
              <w:rPr>
                <w:rFonts w:eastAsia="等线"/>
                <w:kern w:val="2"/>
                <w:lang w:eastAsia="zh-CN"/>
              </w:rPr>
              <w:t>=====End of Draft TP=====</w:t>
            </w:r>
          </w:p>
        </w:tc>
      </w:tr>
    </w:tbl>
    <w:p>
      <w:pPr>
        <w:rPr>
          <w:rFonts w:hint="eastAsia"/>
          <w:b/>
          <w:bCs/>
          <w:i/>
          <w:iCs/>
          <w:lang w:val="en-US" w:eastAsia="zh-CN"/>
        </w:rPr>
      </w:pPr>
    </w:p>
    <w:p>
      <w:pPr>
        <w:rPr>
          <w:rFonts w:hint="eastAsia"/>
          <w:b/>
          <w:bCs/>
          <w:i/>
          <w:iCs/>
          <w:lang w:val="en-US" w:eastAsia="zh-CN"/>
        </w:rPr>
      </w:pPr>
    </w:p>
    <w:bookmarkEnd w:id="15"/>
    <w:bookmarkEnd w:id="16"/>
    <w:bookmarkEnd w:id="17"/>
    <w:bookmarkEnd w:id="18"/>
    <w:bookmarkEnd w:id="19"/>
    <w:bookmarkEnd w:id="20"/>
    <w:p>
      <w:pPr>
        <w:pStyle w:val="2"/>
      </w:pPr>
      <w:r>
        <w:t>Reference</w:t>
      </w:r>
    </w:p>
    <w:bookmarkEnd w:id="2"/>
    <w:p>
      <w:pPr>
        <w:pStyle w:val="49"/>
        <w:numPr>
          <w:ilvl w:val="0"/>
          <w:numId w:val="14"/>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4"/>
        </w:numPr>
        <w:ind w:firstLineChars="0"/>
        <w:jc w:val="left"/>
        <w:rPr>
          <w:lang w:eastAsia="zh-CN"/>
        </w:rPr>
      </w:pPr>
      <w:r>
        <w:rPr>
          <w:rFonts w:hint="eastAsia"/>
          <w:lang w:val="en-US" w:eastAsia="zh-CN"/>
        </w:rPr>
        <w:t>TS 38.306 v17.5.0</w:t>
      </w:r>
      <w:r>
        <w:rPr>
          <w:rFonts w:hint="eastAsia"/>
          <w:lang w:val="en-US" w:eastAsia="zh-CN"/>
        </w:rPr>
        <w:tab/>
      </w:r>
      <w:r>
        <w:t>Technical Specification Group Radio Access Network</w:t>
      </w:r>
      <w:r>
        <w:rPr>
          <w:rFonts w:hint="eastAsia"/>
          <w:lang w:val="en-US" w:eastAsia="zh-CN"/>
        </w:rPr>
        <w:t>; NR; User Equipment (UE) radio access capabilities, 2023-06</w:t>
      </w:r>
      <w:bookmarkStart w:id="21" w:name="_GoBack"/>
      <w:bookmarkEnd w:id="21"/>
    </w:p>
    <w:p>
      <w:pPr>
        <w:pStyle w:val="49"/>
        <w:numPr>
          <w:ilvl w:val="0"/>
          <w:numId w:val="14"/>
        </w:numPr>
        <w:ind w:firstLineChars="0"/>
        <w:jc w:val="left"/>
        <w:rPr>
          <w:lang w:eastAsia="zh-CN"/>
        </w:rPr>
      </w:pPr>
      <w:r>
        <w:rPr>
          <w:rFonts w:hint="eastAsia"/>
          <w:lang w:eastAsia="zh-CN"/>
        </w:rPr>
        <w:t>Draft_Minutes_report_RAN1#1</w:t>
      </w:r>
      <w:r>
        <w:rPr>
          <w:rFonts w:hint="eastAsia"/>
          <w:lang w:val="en-US" w:eastAsia="zh-CN"/>
        </w:rPr>
        <w:t>12bis</w:t>
      </w:r>
      <w:r>
        <w:rPr>
          <w:rFonts w:hint="eastAsia"/>
          <w:lang w:eastAsia="zh-CN"/>
        </w:rPr>
        <w:t>-e_v0</w:t>
      </w:r>
      <w:r>
        <w:rPr>
          <w:rFonts w:hint="eastAsia"/>
          <w:lang w:val="en-US" w:eastAsia="zh-CN"/>
        </w:rPr>
        <w:t>2</w:t>
      </w:r>
      <w:r>
        <w:rPr>
          <w:rFonts w:hint="eastAsia"/>
          <w:lang w:eastAsia="zh-CN"/>
        </w:rPr>
        <w:t>0</w:t>
      </w:r>
      <w:r>
        <w:rPr>
          <w:rFonts w:hint="eastAsia"/>
          <w:lang w:val="en-US" w:eastAsia="zh-CN"/>
        </w:rPr>
        <w:t>, 2023-04</w:t>
      </w:r>
    </w:p>
    <w:p>
      <w:pPr>
        <w:pStyle w:val="49"/>
        <w:numPr>
          <w:ilvl w:val="0"/>
          <w:numId w:val="14"/>
        </w:numPr>
        <w:ind w:firstLineChars="0"/>
        <w:jc w:val="left"/>
        <w:rPr>
          <w:lang w:eastAsia="zh-CN"/>
        </w:rPr>
      </w:pPr>
      <w:r>
        <w:rPr>
          <w:rFonts w:hint="eastAsia"/>
          <w:lang w:eastAsia="zh-CN"/>
        </w:rPr>
        <w:t>Draft_Minutes_report_RAN1#1</w:t>
      </w:r>
      <w:r>
        <w:rPr>
          <w:rFonts w:hint="eastAsia"/>
          <w:lang w:val="en-US" w:eastAsia="zh-CN"/>
        </w:rPr>
        <w:t>13</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2023-05</w:t>
      </w:r>
    </w:p>
    <w:p>
      <w:pPr>
        <w:pStyle w:val="49"/>
        <w:numPr>
          <w:ilvl w:val="0"/>
          <w:numId w:val="14"/>
        </w:numPr>
        <w:ind w:firstLineChars="0"/>
        <w:jc w:val="left"/>
        <w:rPr>
          <w:lang w:eastAsia="zh-CN"/>
        </w:rPr>
      </w:pPr>
      <w:r>
        <w:rPr>
          <w:rFonts w:hint="eastAsia"/>
          <w:lang w:eastAsia="zh-CN"/>
        </w:rPr>
        <w:t>Draft_Minutes_report_RAN1#1</w:t>
      </w:r>
      <w:r>
        <w:rPr>
          <w:rFonts w:hint="eastAsia"/>
          <w:lang w:val="en-US" w:eastAsia="zh-CN"/>
        </w:rPr>
        <w:t>14</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2023-08</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17ED8C"/>
    <w:multiLevelType w:val="singleLevel"/>
    <w:tmpl w:val="CD17ED8C"/>
    <w:lvl w:ilvl="0" w:tentative="0">
      <w:start w:val="1"/>
      <w:numFmt w:val="bullet"/>
      <w:lvlText w:val=""/>
      <w:lvlJc w:val="left"/>
      <w:pPr>
        <w:ind w:left="420" w:hanging="420"/>
      </w:pPr>
      <w:rPr>
        <w:rFonts w:hint="default" w:ascii="Wingdings" w:hAnsi="Wingdings"/>
      </w:rPr>
    </w:lvl>
  </w:abstractNum>
  <w:abstractNum w:abstractNumId="1">
    <w:nsid w:val="D3FEBAA2"/>
    <w:multiLevelType w:val="singleLevel"/>
    <w:tmpl w:val="D3FEBAA2"/>
    <w:lvl w:ilvl="0" w:tentative="0">
      <w:start w:val="1"/>
      <w:numFmt w:val="bullet"/>
      <w:lvlText w:val=""/>
      <w:lvlJc w:val="left"/>
      <w:pPr>
        <w:ind w:left="420" w:hanging="42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6">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3"/>
  </w:num>
  <w:num w:numId="4">
    <w:abstractNumId w:val="5"/>
  </w:num>
  <w:num w:numId="5">
    <w:abstractNumId w:val="10"/>
  </w:num>
  <w:num w:numId="6">
    <w:abstractNumId w:val="7"/>
  </w:num>
  <w:num w:numId="7">
    <w:abstractNumId w:val="11"/>
  </w:num>
  <w:num w:numId="8">
    <w:abstractNumId w:val="8"/>
  </w:num>
  <w:num w:numId="9">
    <w:abstractNumId w:val="6"/>
  </w:num>
  <w:num w:numId="10">
    <w:abstractNumId w:val="2"/>
  </w:num>
  <w:num w:numId="11">
    <w:abstractNumId w:val="12"/>
  </w:num>
  <w:num w:numId="12">
    <w:abstractNumId w:val="1"/>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3217BD"/>
    <w:rsid w:val="05F32C94"/>
    <w:rsid w:val="061F6B5D"/>
    <w:rsid w:val="076A4FAF"/>
    <w:rsid w:val="07D66291"/>
    <w:rsid w:val="085460A2"/>
    <w:rsid w:val="0A117D20"/>
    <w:rsid w:val="0B602FBE"/>
    <w:rsid w:val="0BA77063"/>
    <w:rsid w:val="0BFF3745"/>
    <w:rsid w:val="0CBC1766"/>
    <w:rsid w:val="0DA05F42"/>
    <w:rsid w:val="0EC4383D"/>
    <w:rsid w:val="12996DDB"/>
    <w:rsid w:val="14283870"/>
    <w:rsid w:val="14F53ED8"/>
    <w:rsid w:val="192E0655"/>
    <w:rsid w:val="1ADF4FC4"/>
    <w:rsid w:val="1B881596"/>
    <w:rsid w:val="1F4B31FF"/>
    <w:rsid w:val="1F662F3C"/>
    <w:rsid w:val="1F716BAB"/>
    <w:rsid w:val="2253290E"/>
    <w:rsid w:val="23486481"/>
    <w:rsid w:val="23602280"/>
    <w:rsid w:val="23BF6885"/>
    <w:rsid w:val="248867AD"/>
    <w:rsid w:val="2C84203A"/>
    <w:rsid w:val="2C9516F6"/>
    <w:rsid w:val="2E3E13E7"/>
    <w:rsid w:val="31692BB6"/>
    <w:rsid w:val="372A6BEC"/>
    <w:rsid w:val="382E354E"/>
    <w:rsid w:val="39A304C8"/>
    <w:rsid w:val="3B1653EB"/>
    <w:rsid w:val="3C321AA2"/>
    <w:rsid w:val="42793D75"/>
    <w:rsid w:val="43B92A18"/>
    <w:rsid w:val="443772C1"/>
    <w:rsid w:val="45ED6C35"/>
    <w:rsid w:val="47E8361C"/>
    <w:rsid w:val="48792000"/>
    <w:rsid w:val="487B3D28"/>
    <w:rsid w:val="48B03A9C"/>
    <w:rsid w:val="4BC55881"/>
    <w:rsid w:val="50C33E61"/>
    <w:rsid w:val="52917FB7"/>
    <w:rsid w:val="535627BF"/>
    <w:rsid w:val="562E6722"/>
    <w:rsid w:val="575367D0"/>
    <w:rsid w:val="596318AA"/>
    <w:rsid w:val="59C21E93"/>
    <w:rsid w:val="5A5D6E9A"/>
    <w:rsid w:val="5B8C599C"/>
    <w:rsid w:val="5D0F4D83"/>
    <w:rsid w:val="5D6529BE"/>
    <w:rsid w:val="6085456B"/>
    <w:rsid w:val="6407789F"/>
    <w:rsid w:val="643111CD"/>
    <w:rsid w:val="6AC8766D"/>
    <w:rsid w:val="6C941265"/>
    <w:rsid w:val="6D732747"/>
    <w:rsid w:val="70DC11F3"/>
    <w:rsid w:val="71A204D9"/>
    <w:rsid w:val="72E826E6"/>
    <w:rsid w:val="731A7E50"/>
    <w:rsid w:val="745E0D6E"/>
    <w:rsid w:val="74AF1D09"/>
    <w:rsid w:val="750453F4"/>
    <w:rsid w:val="78847468"/>
    <w:rsid w:val="78DD0123"/>
    <w:rsid w:val="79D20AD8"/>
    <w:rsid w:val="7A7A6B56"/>
    <w:rsid w:val="7AD257B5"/>
    <w:rsid w:val="7D735521"/>
    <w:rsid w:val="7DAC19C9"/>
    <w:rsid w:val="7DBF7E6A"/>
    <w:rsid w:val="7DEF34B5"/>
    <w:rsid w:val="7E245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3">
    <w:name w:val="B3"/>
    <w:basedOn w:val="1"/>
    <w:qFormat/>
    <w:uiPriority w:val="0"/>
    <w:pPr>
      <w:suppressAutoHyphens w:val="0"/>
      <w:snapToGrid/>
      <w:spacing w:after="180" w:line="240" w:lineRule="auto"/>
      <w:ind w:left="1135" w:hanging="284"/>
      <w:jc w:val="left"/>
    </w:pPr>
    <w:rPr>
      <w:rFonts w:eastAsia="宋体"/>
      <w:sz w:val="20"/>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2</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2023-09-28T06:50:32Z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